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2ACD" w14:textId="77777777" w:rsidR="00E72513" w:rsidRPr="00ED4EFC" w:rsidRDefault="00E72513" w:rsidP="00E72513">
      <w:pPr>
        <w:spacing w:after="0" w:line="276" w:lineRule="auto"/>
        <w:ind w:leftChars="2447" w:left="5385" w:hanging="2"/>
        <w:rPr>
          <w:rFonts w:ascii="Arial" w:eastAsia="Arial" w:hAnsi="Arial" w:cs="Arial"/>
          <w:sz w:val="20"/>
          <w:szCs w:val="20"/>
          <w:lang w:eastAsia="pl-PL"/>
        </w:rPr>
      </w:pPr>
    </w:p>
    <w:p w14:paraId="461BA0FD" w14:textId="77777777" w:rsidR="00E72513" w:rsidRPr="00ED4EFC" w:rsidRDefault="00E72513" w:rsidP="00E72513">
      <w:pPr>
        <w:spacing w:after="0" w:line="276" w:lineRule="auto"/>
        <w:ind w:leftChars="2447" w:left="5385" w:hanging="2"/>
        <w:rPr>
          <w:rFonts w:ascii="Arial" w:eastAsia="Arial" w:hAnsi="Arial" w:cs="Arial"/>
          <w:sz w:val="20"/>
          <w:szCs w:val="20"/>
          <w:lang w:eastAsia="pl-PL"/>
        </w:rPr>
      </w:pPr>
    </w:p>
    <w:p w14:paraId="47176D18" w14:textId="1EDC3EF8" w:rsidR="00E72513" w:rsidRPr="00ED4EFC" w:rsidRDefault="00E72513" w:rsidP="007D656D">
      <w:pPr>
        <w:spacing w:after="0" w:line="276" w:lineRule="auto"/>
        <w:ind w:leftChars="1416" w:left="3117" w:hanging="2"/>
        <w:rPr>
          <w:rFonts w:ascii="Arial" w:eastAsia="Arial" w:hAnsi="Arial" w:cs="Arial"/>
          <w:sz w:val="20"/>
          <w:szCs w:val="20"/>
          <w:lang w:eastAsia="pl-PL"/>
        </w:rPr>
      </w:pPr>
      <w:r w:rsidRPr="00ED4EFC">
        <w:rPr>
          <w:rFonts w:ascii="Arial" w:eastAsia="Arial" w:hAnsi="Arial" w:cs="Arial"/>
          <w:sz w:val="20"/>
          <w:szCs w:val="20"/>
          <w:lang w:eastAsia="pl-PL"/>
        </w:rPr>
        <w:t xml:space="preserve">Załącznik nr </w:t>
      </w:r>
      <w:r w:rsidR="00ED4EFC" w:rsidRPr="00ED4EFC">
        <w:rPr>
          <w:rFonts w:ascii="Arial" w:eastAsia="Arial" w:hAnsi="Arial" w:cs="Arial"/>
          <w:sz w:val="20"/>
          <w:szCs w:val="20"/>
          <w:lang w:eastAsia="pl-PL"/>
        </w:rPr>
        <w:t>1</w:t>
      </w:r>
      <w:r w:rsidRPr="00ED4EFC">
        <w:rPr>
          <w:rFonts w:ascii="Arial" w:eastAsia="Arial" w:hAnsi="Arial" w:cs="Arial"/>
          <w:sz w:val="20"/>
          <w:szCs w:val="20"/>
          <w:lang w:eastAsia="pl-PL"/>
        </w:rPr>
        <w:t xml:space="preserve"> do Uchwały nr </w:t>
      </w:r>
      <w:r w:rsidR="007D656D">
        <w:rPr>
          <w:rFonts w:ascii="Arial" w:eastAsia="Arial" w:hAnsi="Arial" w:cs="Arial"/>
          <w:sz w:val="20"/>
          <w:szCs w:val="20"/>
          <w:lang w:eastAsia="pl-PL"/>
        </w:rPr>
        <w:t>14</w:t>
      </w:r>
      <w:r w:rsidR="00ED4EFC" w:rsidRPr="00ED4EFC">
        <w:rPr>
          <w:rFonts w:ascii="Arial" w:eastAsia="Arial" w:hAnsi="Arial" w:cs="Arial"/>
          <w:sz w:val="20"/>
          <w:szCs w:val="20"/>
          <w:lang w:eastAsia="pl-PL"/>
        </w:rPr>
        <w:t>/202</w:t>
      </w:r>
      <w:r w:rsidR="007D656D">
        <w:rPr>
          <w:rFonts w:ascii="Arial" w:eastAsia="Arial" w:hAnsi="Arial" w:cs="Arial"/>
          <w:sz w:val="20"/>
          <w:szCs w:val="20"/>
          <w:lang w:eastAsia="pl-PL"/>
        </w:rPr>
        <w:t>6</w:t>
      </w:r>
      <w:r w:rsidRPr="00ED4EFC">
        <w:rPr>
          <w:rFonts w:ascii="Arial" w:eastAsia="Arial" w:hAnsi="Arial" w:cs="Arial"/>
          <w:sz w:val="20"/>
          <w:szCs w:val="20"/>
          <w:lang w:eastAsia="pl-PL"/>
        </w:rPr>
        <w:t xml:space="preserve"> z dnia </w:t>
      </w:r>
      <w:r w:rsidR="007D656D">
        <w:rPr>
          <w:rFonts w:ascii="Arial" w:eastAsia="Arial" w:hAnsi="Arial" w:cs="Arial"/>
          <w:sz w:val="20"/>
          <w:szCs w:val="20"/>
          <w:lang w:eastAsia="pl-PL"/>
        </w:rPr>
        <w:t>05</w:t>
      </w:r>
      <w:r w:rsidR="00ED4EFC" w:rsidRPr="00ED4EFC">
        <w:rPr>
          <w:rFonts w:ascii="Arial" w:eastAsia="Arial" w:hAnsi="Arial" w:cs="Arial"/>
          <w:sz w:val="20"/>
          <w:szCs w:val="20"/>
          <w:lang w:eastAsia="pl-PL"/>
        </w:rPr>
        <w:t>.</w:t>
      </w:r>
      <w:r w:rsidR="007D656D">
        <w:rPr>
          <w:rFonts w:ascii="Arial" w:eastAsia="Arial" w:hAnsi="Arial" w:cs="Arial"/>
          <w:sz w:val="20"/>
          <w:szCs w:val="20"/>
          <w:lang w:eastAsia="pl-PL"/>
        </w:rPr>
        <w:t>05</w:t>
      </w:r>
      <w:r w:rsidRPr="00ED4EFC">
        <w:rPr>
          <w:rFonts w:ascii="Arial" w:eastAsia="Arial" w:hAnsi="Arial" w:cs="Arial"/>
          <w:sz w:val="20"/>
          <w:szCs w:val="20"/>
          <w:lang w:eastAsia="pl-PL"/>
        </w:rPr>
        <w:t>.202</w:t>
      </w:r>
      <w:r w:rsidR="007D656D">
        <w:rPr>
          <w:rFonts w:ascii="Arial" w:eastAsia="Arial" w:hAnsi="Arial" w:cs="Arial"/>
          <w:sz w:val="20"/>
          <w:szCs w:val="20"/>
          <w:lang w:eastAsia="pl-PL"/>
        </w:rPr>
        <w:t>6</w:t>
      </w:r>
      <w:r w:rsidRPr="00ED4EFC">
        <w:rPr>
          <w:rFonts w:ascii="Arial" w:eastAsia="Arial" w:hAnsi="Arial" w:cs="Arial"/>
          <w:sz w:val="20"/>
          <w:szCs w:val="20"/>
          <w:lang w:eastAsia="pl-PL"/>
        </w:rPr>
        <w:t xml:space="preserve"> r. </w:t>
      </w:r>
      <w:r w:rsidR="007D656D">
        <w:rPr>
          <w:rFonts w:ascii="Arial" w:eastAsia="Arial" w:hAnsi="Arial" w:cs="Arial"/>
          <w:sz w:val="20"/>
          <w:szCs w:val="20"/>
          <w:lang w:eastAsia="pl-PL"/>
        </w:rPr>
        <w:br/>
      </w:r>
      <w:r w:rsidRPr="00ED4EFC">
        <w:rPr>
          <w:rFonts w:ascii="Arial" w:eastAsia="Arial" w:hAnsi="Arial" w:cs="Arial"/>
          <w:sz w:val="20"/>
          <w:szCs w:val="20"/>
          <w:lang w:eastAsia="pl-PL"/>
        </w:rPr>
        <w:t>Zarządu Stowarzyszenia</w:t>
      </w:r>
      <w:r w:rsidR="007D656D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 w:rsidRPr="00ED4EFC">
        <w:rPr>
          <w:rFonts w:ascii="Arial" w:eastAsia="Arial" w:hAnsi="Arial" w:cs="Arial"/>
          <w:sz w:val="20"/>
          <w:szCs w:val="20"/>
          <w:lang w:eastAsia="pl-PL"/>
        </w:rPr>
        <w:t>“Lokalna Grupa Działania - Lider Dolina Strugu”</w:t>
      </w:r>
    </w:p>
    <w:p w14:paraId="68C101D1" w14:textId="77777777" w:rsidR="00E72513" w:rsidRPr="00ED4EFC" w:rsidRDefault="00E72513" w:rsidP="00E72513">
      <w:pPr>
        <w:spacing w:after="0" w:line="276" w:lineRule="auto"/>
        <w:ind w:left="5529"/>
        <w:rPr>
          <w:rFonts w:ascii="Arial" w:eastAsia="Times New Roman" w:hAnsi="Arial" w:cs="Arial"/>
          <w:bCs/>
          <w:lang w:eastAsia="pl-PL"/>
        </w:rPr>
      </w:pPr>
    </w:p>
    <w:p w14:paraId="4F6F8F6F" w14:textId="77777777" w:rsidR="00E72513" w:rsidRPr="00ED4EFC" w:rsidRDefault="00E72513" w:rsidP="00E72513">
      <w:pPr>
        <w:spacing w:after="0" w:line="276" w:lineRule="auto"/>
        <w:ind w:left="5529"/>
        <w:rPr>
          <w:rFonts w:ascii="Arial" w:eastAsia="Times New Roman" w:hAnsi="Arial" w:cs="Arial"/>
          <w:bCs/>
          <w:lang w:eastAsia="pl-PL"/>
        </w:rPr>
      </w:pPr>
    </w:p>
    <w:p w14:paraId="05DE6D5E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1167309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547E97A" w14:textId="77777777" w:rsidR="00E72513" w:rsidRPr="00ED4EFC" w:rsidRDefault="00E72513" w:rsidP="00E72513">
      <w:pPr>
        <w:spacing w:after="0" w:line="276" w:lineRule="auto"/>
        <w:ind w:left="1" w:hanging="3"/>
        <w:jc w:val="center"/>
        <w:rPr>
          <w:rFonts w:ascii="Arial" w:eastAsia="Arial" w:hAnsi="Arial" w:cs="Arial"/>
          <w:sz w:val="32"/>
          <w:szCs w:val="32"/>
          <w:lang w:eastAsia="pl-PL"/>
        </w:rPr>
      </w:pPr>
      <w:r w:rsidRPr="00ED4EFC">
        <w:rPr>
          <w:rFonts w:ascii="Arial" w:eastAsia="Arial" w:hAnsi="Arial" w:cs="Arial"/>
          <w:b/>
          <w:sz w:val="32"/>
          <w:szCs w:val="32"/>
          <w:lang w:eastAsia="pl-PL"/>
        </w:rPr>
        <w:t>PROCEDURA</w:t>
      </w:r>
    </w:p>
    <w:p w14:paraId="02D4B28F" w14:textId="77777777" w:rsidR="00E72513" w:rsidRPr="00ED4EFC" w:rsidRDefault="00E72513" w:rsidP="00E72513">
      <w:pPr>
        <w:spacing w:after="0" w:line="276" w:lineRule="auto"/>
        <w:ind w:left="1" w:hanging="3"/>
        <w:jc w:val="center"/>
        <w:rPr>
          <w:rFonts w:ascii="Arial" w:eastAsia="Arial" w:hAnsi="Arial" w:cs="Arial"/>
          <w:sz w:val="28"/>
          <w:szCs w:val="28"/>
          <w:lang w:eastAsia="pl-PL"/>
        </w:rPr>
      </w:pPr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>ogłaszania, oceny i wyboru grantobiorców</w:t>
      </w:r>
    </w:p>
    <w:p w14:paraId="34D2C522" w14:textId="77777777" w:rsidR="00E72513" w:rsidRPr="00ED4EFC" w:rsidRDefault="00E72513" w:rsidP="00E72513">
      <w:pPr>
        <w:spacing w:after="0" w:line="276" w:lineRule="auto"/>
        <w:ind w:left="1" w:hanging="3"/>
        <w:jc w:val="center"/>
        <w:rPr>
          <w:rFonts w:ascii="Arial" w:eastAsia="Arial" w:hAnsi="Arial" w:cs="Arial"/>
          <w:sz w:val="28"/>
          <w:szCs w:val="28"/>
          <w:lang w:eastAsia="pl-PL"/>
        </w:rPr>
      </w:pPr>
      <w:bookmarkStart w:id="0" w:name="_Hlk183166132"/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>w ramach wdrażania</w:t>
      </w:r>
      <w:bookmarkEnd w:id="0"/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 xml:space="preserve"> </w:t>
      </w:r>
    </w:p>
    <w:p w14:paraId="14E17123" w14:textId="77777777" w:rsidR="00E72513" w:rsidRPr="00ED4EFC" w:rsidRDefault="00E72513" w:rsidP="00E72513">
      <w:pPr>
        <w:spacing w:after="0" w:line="276" w:lineRule="auto"/>
        <w:ind w:left="1" w:hanging="3"/>
        <w:jc w:val="center"/>
        <w:rPr>
          <w:rFonts w:ascii="Arial" w:eastAsia="Arial" w:hAnsi="Arial" w:cs="Arial"/>
          <w:sz w:val="28"/>
          <w:szCs w:val="28"/>
          <w:lang w:eastAsia="pl-PL"/>
        </w:rPr>
      </w:pPr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>Lokalnej Strategii Rozwoju Dolina Strugu 2029</w:t>
      </w:r>
    </w:p>
    <w:p w14:paraId="27BE16A5" w14:textId="77777777" w:rsidR="00E72513" w:rsidRPr="00ED4EFC" w:rsidRDefault="00E72513" w:rsidP="00E72513">
      <w:pPr>
        <w:spacing w:after="0" w:line="276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  <w:lang w:eastAsia="pl-PL"/>
        </w:rPr>
      </w:pPr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 xml:space="preserve">Stowarzyszenia “Lokalna Grupa Działania - Lider Dolina Strugu” </w:t>
      </w:r>
    </w:p>
    <w:p w14:paraId="427783FE" w14:textId="77777777" w:rsidR="00E72513" w:rsidRPr="00ED4EFC" w:rsidRDefault="00E72513" w:rsidP="00E72513">
      <w:pPr>
        <w:spacing w:after="0" w:line="276" w:lineRule="auto"/>
        <w:ind w:leftChars="-1" w:left="1" w:hangingChars="1" w:hanging="3"/>
        <w:jc w:val="center"/>
        <w:rPr>
          <w:rFonts w:ascii="Arial" w:eastAsia="Arial" w:hAnsi="Arial" w:cs="Arial"/>
          <w:b/>
          <w:sz w:val="32"/>
          <w:szCs w:val="32"/>
          <w:lang w:eastAsia="pl-PL"/>
        </w:rPr>
      </w:pPr>
      <w:r w:rsidRPr="00ED4EFC">
        <w:rPr>
          <w:rFonts w:ascii="Arial" w:eastAsia="Arial" w:hAnsi="Arial" w:cs="Arial"/>
          <w:b/>
          <w:sz w:val="28"/>
          <w:szCs w:val="28"/>
          <w:lang w:eastAsia="pl-PL"/>
        </w:rPr>
        <w:t>– komponent EFS+</w:t>
      </w:r>
    </w:p>
    <w:p w14:paraId="7E0F8F1F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35F28F06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3565AF46" w14:textId="2DABBAC2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ED4EFC">
        <w:rPr>
          <w:rFonts w:ascii="Arial" w:eastAsia="Arial" w:hAnsi="Arial" w:cs="Arial"/>
          <w:noProof/>
          <w:lang w:eastAsia="pl-PL"/>
        </w:rPr>
        <w:drawing>
          <wp:inline distT="0" distB="0" distL="0" distR="0" wp14:anchorId="77359C41" wp14:editId="31DB56B3">
            <wp:extent cx="5276850" cy="3867150"/>
            <wp:effectExtent l="0" t="0" r="0" b="0"/>
            <wp:docPr id="892110149" name="Obraz 1" descr="Obraz zawierający tekst, logo, symbol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10149" name="Obraz 1" descr="Obraz zawierający tekst, logo, symbol, godł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1DEF5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77D31E43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793CF88E" w14:textId="560F9394" w:rsidR="00E72513" w:rsidRPr="00ED4EFC" w:rsidRDefault="00E72513" w:rsidP="00E725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jc w:val="center"/>
        <w:rPr>
          <w:rFonts w:ascii="Arial" w:eastAsia="Arial" w:hAnsi="Arial" w:cs="Arial"/>
          <w:sz w:val="20"/>
          <w:szCs w:val="20"/>
          <w:lang w:eastAsia="pl-PL"/>
        </w:rPr>
      </w:pPr>
      <w:r w:rsidRPr="00ED4EFC">
        <w:rPr>
          <w:rFonts w:ascii="Arial" w:eastAsia="Arial" w:hAnsi="Arial" w:cs="Arial"/>
          <w:lang w:eastAsia="pl-PL"/>
        </w:rPr>
        <w:t xml:space="preserve">Tyczyn, </w:t>
      </w:r>
      <w:r w:rsidR="007D656D">
        <w:rPr>
          <w:rFonts w:ascii="Arial" w:eastAsia="Arial" w:hAnsi="Arial" w:cs="Arial"/>
          <w:lang w:eastAsia="pl-PL"/>
        </w:rPr>
        <w:t>maj</w:t>
      </w:r>
      <w:r w:rsidRPr="00ED4EFC">
        <w:rPr>
          <w:rFonts w:ascii="Arial" w:eastAsia="Arial" w:hAnsi="Arial" w:cs="Arial"/>
          <w:lang w:eastAsia="pl-PL"/>
        </w:rPr>
        <w:t xml:space="preserve"> 202</w:t>
      </w:r>
      <w:r w:rsidR="007D656D">
        <w:rPr>
          <w:rFonts w:ascii="Arial" w:eastAsia="Arial" w:hAnsi="Arial" w:cs="Arial"/>
          <w:lang w:eastAsia="pl-PL"/>
        </w:rPr>
        <w:t>6</w:t>
      </w:r>
      <w:r w:rsidRPr="00ED4EFC">
        <w:rPr>
          <w:rFonts w:ascii="Arial" w:eastAsia="Arial" w:hAnsi="Arial" w:cs="Arial"/>
          <w:lang w:eastAsia="pl-PL"/>
        </w:rPr>
        <w:t xml:space="preserve"> r.</w:t>
      </w:r>
    </w:p>
    <w:p w14:paraId="3318687B" w14:textId="77777777" w:rsidR="00E72513" w:rsidRPr="00ED4EFC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4A6D0B21" w14:textId="77777777" w:rsidR="00E72513" w:rsidRDefault="00E72513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6C9154F9" w14:textId="77777777" w:rsidR="007D656D" w:rsidRPr="00ED4EFC" w:rsidRDefault="007D656D" w:rsidP="00E72513">
      <w:pPr>
        <w:spacing w:after="0" w:line="276" w:lineRule="auto"/>
        <w:jc w:val="center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38D5ABF5" w14:textId="77777777" w:rsidR="00E72513" w:rsidRPr="00ED4EFC" w:rsidRDefault="00E72513" w:rsidP="00ED4EFC">
      <w:pPr>
        <w:spacing w:after="0" w:line="276" w:lineRule="auto"/>
        <w:rPr>
          <w:rFonts w:ascii="Arial" w:eastAsia="Times New Roman" w:hAnsi="Arial" w:cs="Arial"/>
          <w:bCs/>
          <w:sz w:val="28"/>
          <w:szCs w:val="28"/>
          <w:lang w:eastAsia="pl-PL"/>
        </w:rPr>
      </w:pPr>
    </w:p>
    <w:p w14:paraId="7832AF9D" w14:textId="77777777" w:rsidR="00E72513" w:rsidRPr="00ED4EFC" w:rsidRDefault="00E72513" w:rsidP="00E7251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"/>
        <w:rPr>
          <w:rFonts w:ascii="Arial" w:eastAsia="Arial" w:hAnsi="Arial" w:cs="Arial"/>
          <w:b/>
          <w:sz w:val="24"/>
          <w:szCs w:val="24"/>
          <w:lang w:eastAsia="pl-PL"/>
        </w:rPr>
      </w:pPr>
      <w:bookmarkStart w:id="1" w:name="_Hlk183166347"/>
      <w:r w:rsidRPr="00ED4EFC">
        <w:rPr>
          <w:rFonts w:ascii="Arial" w:eastAsia="Arial" w:hAnsi="Arial" w:cs="Arial"/>
          <w:b/>
          <w:sz w:val="24"/>
          <w:szCs w:val="24"/>
          <w:lang w:eastAsia="pl-PL"/>
        </w:rPr>
        <w:lastRenderedPageBreak/>
        <w:t>Spis treści</w:t>
      </w:r>
    </w:p>
    <w:bookmarkEnd w:id="1"/>
    <w:p w14:paraId="4B882387" w14:textId="77777777" w:rsidR="00E72513" w:rsidRPr="00ED4EFC" w:rsidRDefault="00E72513" w:rsidP="00E72513">
      <w:pPr>
        <w:spacing w:after="200" w:line="276" w:lineRule="auto"/>
        <w:rPr>
          <w:rFonts w:ascii="Arial" w:eastAsia="Times New Roman" w:hAnsi="Arial" w:cs="Arial"/>
        </w:rPr>
      </w:pPr>
    </w:p>
    <w:p w14:paraId="40C7D7DF" w14:textId="6C38A83D" w:rsidR="00E72513" w:rsidRPr="00ED4EFC" w:rsidRDefault="00E72513" w:rsidP="00E72513">
      <w:pPr>
        <w:tabs>
          <w:tab w:val="right" w:leader="dot" w:pos="8789"/>
        </w:tabs>
        <w:spacing w:after="200" w:line="276" w:lineRule="auto"/>
        <w:ind w:left="284" w:right="43" w:hanging="284"/>
        <w:jc w:val="both"/>
        <w:rPr>
          <w:rFonts w:ascii="Arial" w:eastAsia="Times New Roman" w:hAnsi="Arial" w:cs="Arial"/>
          <w:noProof/>
          <w:kern w:val="2"/>
          <w:lang w:eastAsia="pl-PL"/>
        </w:rPr>
      </w:pPr>
      <w:r w:rsidRPr="00ED4EFC">
        <w:rPr>
          <w:rFonts w:ascii="Arial" w:eastAsia="Times New Roman" w:hAnsi="Arial" w:cs="Arial"/>
          <w:noProof/>
          <w:lang w:eastAsia="pl-PL"/>
        </w:rPr>
        <w:fldChar w:fldCharType="begin"/>
      </w:r>
      <w:r w:rsidRPr="00ED4EFC">
        <w:rPr>
          <w:rFonts w:ascii="Arial" w:eastAsia="Times New Roman" w:hAnsi="Arial" w:cs="Arial"/>
          <w:noProof/>
          <w:lang w:eastAsia="pl-PL"/>
        </w:rPr>
        <w:instrText xml:space="preserve"> TOC \o "1-3" \h \z \u </w:instrText>
      </w:r>
      <w:r w:rsidRPr="00ED4EFC">
        <w:rPr>
          <w:rFonts w:ascii="Arial" w:eastAsia="Times New Roman" w:hAnsi="Arial" w:cs="Arial"/>
          <w:noProof/>
          <w:lang w:eastAsia="pl-PL"/>
        </w:rPr>
        <w:fldChar w:fldCharType="separate"/>
      </w:r>
      <w:hyperlink w:anchor="_Toc182303968" w:history="1">
        <w:r w:rsidRPr="00ED4EFC">
          <w:rPr>
            <w:rFonts w:ascii="Arial" w:eastAsia="Times New Roman" w:hAnsi="Arial" w:cs="Arial"/>
            <w:noProof/>
            <w:szCs w:val="28"/>
            <w:lang w:eastAsia="pl-PL"/>
          </w:rPr>
          <w:t>§ 1 Postanowienia Ogólne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tab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begin"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instrText xml:space="preserve"> PAGEREF _Toc182303968 \h </w:instrTex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separate"/>
        </w:r>
        <w:r w:rsidR="00CB20E2">
          <w:rPr>
            <w:rFonts w:ascii="Arial" w:eastAsia="Times New Roman" w:hAnsi="Arial" w:cs="Arial"/>
            <w:noProof/>
            <w:webHidden/>
            <w:szCs w:val="28"/>
            <w:lang w:eastAsia="pl-PL"/>
          </w:rPr>
          <w:t>3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end"/>
        </w:r>
      </w:hyperlink>
    </w:p>
    <w:p w14:paraId="4DB15A15" w14:textId="71244EA4" w:rsidR="00E72513" w:rsidRPr="00ED4EFC" w:rsidRDefault="00E72513" w:rsidP="00E72513">
      <w:pPr>
        <w:tabs>
          <w:tab w:val="right" w:leader="dot" w:pos="8789"/>
        </w:tabs>
        <w:spacing w:after="200" w:line="276" w:lineRule="auto"/>
        <w:ind w:left="284" w:right="43" w:hanging="284"/>
        <w:jc w:val="both"/>
        <w:rPr>
          <w:rFonts w:ascii="Arial" w:eastAsia="Times New Roman" w:hAnsi="Arial" w:cs="Arial"/>
          <w:noProof/>
          <w:kern w:val="2"/>
          <w:lang w:eastAsia="pl-PL"/>
        </w:rPr>
      </w:pPr>
      <w:hyperlink w:anchor="_Toc182303969" w:history="1">
        <w:r w:rsidRPr="00ED4EFC">
          <w:rPr>
            <w:rFonts w:ascii="Arial" w:eastAsia="Times New Roman" w:hAnsi="Arial" w:cs="Arial"/>
            <w:noProof/>
            <w:szCs w:val="28"/>
            <w:lang w:eastAsia="pl-PL"/>
          </w:rPr>
          <w:t xml:space="preserve">§ 2 Zasady ogłaszania naboru, sporządzania i składania wniosków o powierzenie grantu 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begin"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instrText xml:space="preserve"> PAGEREF _Toc182303969 \h </w:instrTex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separate"/>
        </w:r>
        <w:r w:rsidR="00CB20E2">
          <w:rPr>
            <w:rFonts w:ascii="Arial" w:eastAsia="Times New Roman" w:hAnsi="Arial" w:cs="Arial"/>
            <w:noProof/>
            <w:webHidden/>
            <w:szCs w:val="28"/>
            <w:lang w:eastAsia="pl-PL"/>
          </w:rPr>
          <w:t>4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end"/>
        </w:r>
      </w:hyperlink>
    </w:p>
    <w:p w14:paraId="27D9A9D4" w14:textId="5C4542D2" w:rsidR="00E72513" w:rsidRPr="00ED4EFC" w:rsidRDefault="00E72513" w:rsidP="00E72513">
      <w:pPr>
        <w:tabs>
          <w:tab w:val="right" w:leader="dot" w:pos="8789"/>
        </w:tabs>
        <w:spacing w:after="200" w:line="276" w:lineRule="auto"/>
        <w:ind w:left="284" w:right="43" w:hanging="284"/>
        <w:jc w:val="both"/>
        <w:rPr>
          <w:rFonts w:ascii="Arial" w:eastAsia="Times New Roman" w:hAnsi="Arial" w:cs="Arial"/>
          <w:noProof/>
          <w:kern w:val="2"/>
          <w:lang w:eastAsia="pl-PL"/>
        </w:rPr>
      </w:pPr>
      <w:hyperlink w:anchor="_Toc182303970" w:history="1">
        <w:r w:rsidRPr="00ED4EFC">
          <w:rPr>
            <w:rFonts w:ascii="Arial" w:eastAsia="Times New Roman" w:hAnsi="Arial" w:cs="Arial"/>
            <w:noProof/>
            <w:szCs w:val="28"/>
            <w:lang w:eastAsia="pl-PL"/>
          </w:rPr>
          <w:t>§ 3 Ocena wniosków i ustalenie kwoty grantu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tab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begin"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instrText xml:space="preserve"> PAGEREF _Toc182303970 \h </w:instrTex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separate"/>
        </w:r>
        <w:r w:rsidR="00CB20E2">
          <w:rPr>
            <w:rFonts w:ascii="Arial" w:eastAsia="Times New Roman" w:hAnsi="Arial" w:cs="Arial"/>
            <w:noProof/>
            <w:webHidden/>
            <w:szCs w:val="28"/>
            <w:lang w:eastAsia="pl-PL"/>
          </w:rPr>
          <w:t>6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end"/>
        </w:r>
      </w:hyperlink>
    </w:p>
    <w:p w14:paraId="6454E774" w14:textId="606F7FCA" w:rsidR="00E72513" w:rsidRPr="00ED4EFC" w:rsidRDefault="00E72513" w:rsidP="00E72513">
      <w:pPr>
        <w:tabs>
          <w:tab w:val="right" w:leader="dot" w:pos="8789"/>
        </w:tabs>
        <w:spacing w:after="200" w:line="276" w:lineRule="auto"/>
        <w:ind w:left="284" w:right="43" w:hanging="284"/>
        <w:jc w:val="both"/>
        <w:rPr>
          <w:rFonts w:ascii="Arial" w:eastAsia="Times New Roman" w:hAnsi="Arial" w:cs="Arial"/>
          <w:noProof/>
          <w:kern w:val="2"/>
          <w:lang w:eastAsia="pl-PL"/>
        </w:rPr>
      </w:pPr>
      <w:hyperlink w:anchor="_Toc182303971" w:history="1">
        <w:r w:rsidRPr="00ED4EFC">
          <w:rPr>
            <w:rFonts w:ascii="Arial" w:eastAsia="Times New Roman" w:hAnsi="Arial" w:cs="Arial"/>
            <w:noProof/>
            <w:szCs w:val="28"/>
            <w:lang w:eastAsia="pl-PL"/>
          </w:rPr>
          <w:t>§ 4 Postanowienia końcowe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tab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begin"/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instrText xml:space="preserve"> PAGEREF _Toc182303971 \h </w:instrTex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separate"/>
        </w:r>
        <w:r w:rsidR="00CB20E2">
          <w:rPr>
            <w:rFonts w:ascii="Arial" w:eastAsia="Times New Roman" w:hAnsi="Arial" w:cs="Arial"/>
            <w:noProof/>
            <w:webHidden/>
            <w:szCs w:val="28"/>
            <w:lang w:eastAsia="pl-PL"/>
          </w:rPr>
          <w:t>9</w:t>
        </w:r>
        <w:r w:rsidRPr="00ED4EFC">
          <w:rPr>
            <w:rFonts w:ascii="Arial" w:eastAsia="Times New Roman" w:hAnsi="Arial" w:cs="Arial"/>
            <w:noProof/>
            <w:webHidden/>
            <w:szCs w:val="28"/>
            <w:lang w:eastAsia="pl-PL"/>
          </w:rPr>
          <w:fldChar w:fldCharType="end"/>
        </w:r>
      </w:hyperlink>
    </w:p>
    <w:p w14:paraId="28404B3F" w14:textId="77777777" w:rsidR="00E72513" w:rsidRPr="00ED4EFC" w:rsidRDefault="00E72513" w:rsidP="00E72513">
      <w:pPr>
        <w:spacing w:after="200" w:line="276" w:lineRule="auto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bCs/>
          <w:lang w:eastAsia="pl-PL"/>
        </w:rPr>
        <w:fldChar w:fldCharType="end"/>
      </w:r>
    </w:p>
    <w:p w14:paraId="45937E43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65FAA07" w14:textId="77777777" w:rsidR="00E72513" w:rsidRPr="00ED4EFC" w:rsidRDefault="00E72513" w:rsidP="00E72513">
      <w:pPr>
        <w:spacing w:after="0" w:line="276" w:lineRule="auto"/>
        <w:ind w:left="5529"/>
        <w:rPr>
          <w:rFonts w:ascii="Arial" w:eastAsia="Times New Roman" w:hAnsi="Arial" w:cs="Arial"/>
          <w:bCs/>
          <w:lang w:eastAsia="pl-PL"/>
        </w:rPr>
      </w:pPr>
    </w:p>
    <w:p w14:paraId="5F0AB8A4" w14:textId="77777777" w:rsidR="00E72513" w:rsidRPr="00ED4EFC" w:rsidRDefault="00E72513" w:rsidP="00E72513">
      <w:pPr>
        <w:spacing w:after="0" w:line="276" w:lineRule="auto"/>
        <w:ind w:left="5529"/>
        <w:rPr>
          <w:rFonts w:ascii="Arial" w:eastAsia="Times New Roman" w:hAnsi="Arial" w:cs="Arial"/>
          <w:bCs/>
          <w:lang w:eastAsia="pl-PL"/>
        </w:rPr>
      </w:pPr>
    </w:p>
    <w:p w14:paraId="5850DE18" w14:textId="52EE02F6" w:rsidR="00E72513" w:rsidRPr="00ED4EFC" w:rsidRDefault="00E72513" w:rsidP="00ED4EFC">
      <w:pPr>
        <w:spacing w:after="0" w:line="276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ED4EFC">
        <w:rPr>
          <w:rFonts w:ascii="Arial" w:eastAsia="Times New Roman" w:hAnsi="Arial" w:cs="Arial"/>
          <w:bCs/>
          <w:lang w:eastAsia="pl-PL"/>
        </w:rPr>
        <w:br w:type="page"/>
      </w:r>
      <w:bookmarkStart w:id="2" w:name="_Toc182303968"/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lastRenderedPageBreak/>
        <w:t>§ 1</w:t>
      </w:r>
    </w:p>
    <w:p w14:paraId="31651184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Postanowienia ogólne</w:t>
      </w:r>
      <w:bookmarkEnd w:id="2"/>
    </w:p>
    <w:p w14:paraId="0D5DC3C8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12C866D" w14:textId="77777777" w:rsidR="00E72513" w:rsidRPr="00ED4EFC" w:rsidRDefault="00E72513" w:rsidP="00E7251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bookmarkStart w:id="3" w:name="_Hlk183166409"/>
      <w:r w:rsidRPr="00ED4EFC">
        <w:rPr>
          <w:rFonts w:ascii="Arial" w:eastAsia="Times New Roman" w:hAnsi="Arial" w:cs="Arial"/>
          <w:lang w:eastAsia="pl-PL"/>
        </w:rPr>
        <w:t xml:space="preserve">Użyte w niniejszej procedurze zwroty oznaczają: </w:t>
      </w:r>
    </w:p>
    <w:p w14:paraId="042DFB56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LGD</w:t>
      </w:r>
      <w:r w:rsidRPr="00ED4EFC">
        <w:rPr>
          <w:rFonts w:ascii="Arial" w:eastAsia="Times New Roman" w:hAnsi="Arial" w:cs="Arial"/>
          <w:lang w:eastAsia="pl-PL"/>
        </w:rPr>
        <w:t xml:space="preserve"> – Stowarzyszenie “Lokalna Grupa Działania - Lider Dolina Strugu”;</w:t>
      </w:r>
    </w:p>
    <w:p w14:paraId="730FCFC1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LSR</w:t>
      </w:r>
      <w:r w:rsidRPr="00ED4EFC">
        <w:rPr>
          <w:rFonts w:ascii="Arial" w:eastAsia="Times New Roman" w:hAnsi="Arial" w:cs="Arial"/>
          <w:lang w:eastAsia="pl-PL"/>
        </w:rPr>
        <w:t xml:space="preserve"> – Lokalna Strategia Rozwoju Dolina Strugu Stowarzyszenia “Lokalna Grupa Działania - Lider Dolina Strugu”;</w:t>
      </w:r>
    </w:p>
    <w:p w14:paraId="40A22430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Rada</w:t>
      </w:r>
      <w:r w:rsidRPr="00ED4EFC">
        <w:rPr>
          <w:rFonts w:ascii="Arial" w:eastAsia="Times New Roman" w:hAnsi="Arial" w:cs="Arial"/>
          <w:lang w:eastAsia="pl-PL"/>
        </w:rPr>
        <w:t xml:space="preserve"> – Organ decyzyjny Stowarzyszenia “Lokalna Grupa Działania - Lider Dolina Strugu”;</w:t>
      </w:r>
    </w:p>
    <w:p w14:paraId="27530FB1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Zarząd</w:t>
      </w:r>
      <w:r w:rsidRPr="00ED4EFC">
        <w:rPr>
          <w:rFonts w:ascii="Arial" w:eastAsia="Times New Roman" w:hAnsi="Arial" w:cs="Arial"/>
          <w:lang w:eastAsia="pl-PL"/>
        </w:rPr>
        <w:t xml:space="preserve"> – Zarząd Stowarzyszenia “Lokalna Grupa Działania - Lider Dolina Strugu”;</w:t>
      </w:r>
    </w:p>
    <w:p w14:paraId="388DD35E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Prezes Zarządu</w:t>
      </w:r>
      <w:r w:rsidRPr="00ED4EFC">
        <w:rPr>
          <w:rFonts w:ascii="Arial" w:eastAsia="Times New Roman" w:hAnsi="Arial" w:cs="Arial"/>
          <w:lang w:eastAsia="pl-PL"/>
        </w:rPr>
        <w:t xml:space="preserve"> – Prezes Zarządu Stowarzyszenia “Lokalna Grupa Działania - Lider Dolina Strugu”;</w:t>
      </w:r>
    </w:p>
    <w:p w14:paraId="33F27D5D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biuro</w:t>
      </w:r>
      <w:r w:rsidRPr="00ED4EFC">
        <w:rPr>
          <w:rFonts w:ascii="Arial" w:eastAsia="Times New Roman" w:hAnsi="Arial" w:cs="Arial"/>
          <w:lang w:eastAsia="pl-PL"/>
        </w:rPr>
        <w:t xml:space="preserve"> – Biuro Stowarzyszenia “Lokalna Grupa Działania - Lider Dolina Strugu”;</w:t>
      </w:r>
    </w:p>
    <w:p w14:paraId="78C025CF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dyrektor biura</w:t>
      </w:r>
      <w:r w:rsidRPr="00ED4EFC">
        <w:rPr>
          <w:rFonts w:ascii="Arial" w:eastAsia="Times New Roman" w:hAnsi="Arial" w:cs="Arial"/>
          <w:lang w:eastAsia="pl-PL"/>
        </w:rPr>
        <w:t xml:space="preserve"> – Dyrektor Biura Stowarzyszenia “Lokalna Grupa Działania - Lider Dolina Strugu”;</w:t>
      </w:r>
    </w:p>
    <w:p w14:paraId="7E776BE8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pracownik</w:t>
      </w:r>
      <w:r w:rsidRPr="00ED4EFC">
        <w:rPr>
          <w:rFonts w:ascii="Arial" w:eastAsia="Times New Roman" w:hAnsi="Arial" w:cs="Arial"/>
          <w:lang w:eastAsia="pl-PL"/>
        </w:rPr>
        <w:t xml:space="preserve"> – pracownik Biura Stowarzyszenia “Lokalna Grupa Działania - Lider Dolina Strugu”;</w:t>
      </w:r>
    </w:p>
    <w:p w14:paraId="4673B145" w14:textId="0FF47422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osoby uprawnione do przeprowadzenia weryfikacji formalnej wniosków </w:t>
      </w:r>
      <w:r w:rsidRPr="00ED4EFC">
        <w:rPr>
          <w:rFonts w:ascii="Arial" w:eastAsia="Times New Roman" w:hAnsi="Arial" w:cs="Arial"/>
          <w:lang w:eastAsia="pl-PL"/>
        </w:rPr>
        <w:t xml:space="preserve">– pracownicy biura, członkowie Rady, którzy podpisali deklaracje poufności i bezstronności oraz wypełnili Rejestr konfliktów interesów i w którym nie stwierdzono powiązań z </w:t>
      </w:r>
      <w:proofErr w:type="spellStart"/>
      <w:r w:rsidRPr="00ED4EFC">
        <w:rPr>
          <w:rFonts w:ascii="Arial" w:eastAsia="Times New Roman" w:hAnsi="Arial" w:cs="Arial"/>
          <w:lang w:eastAsia="pl-PL"/>
        </w:rPr>
        <w:t>grantobiorcami</w:t>
      </w:r>
      <w:proofErr w:type="spellEnd"/>
      <w:r w:rsidRPr="00ED4EFC">
        <w:rPr>
          <w:rFonts w:ascii="Arial" w:eastAsia="Times New Roman" w:hAnsi="Arial" w:cs="Arial"/>
          <w:lang w:eastAsia="pl-PL"/>
        </w:rPr>
        <w:t>/ poszczególnymi operacjami;</w:t>
      </w:r>
    </w:p>
    <w:p w14:paraId="5F6485FF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ZWP</w:t>
      </w:r>
      <w:r w:rsidRPr="00ED4EFC">
        <w:rPr>
          <w:rFonts w:ascii="Arial" w:eastAsia="Times New Roman" w:hAnsi="Arial" w:cs="Arial"/>
          <w:lang w:eastAsia="pl-PL"/>
        </w:rPr>
        <w:t xml:space="preserve"> – Zarząd Województwa Podkarpackiego;</w:t>
      </w:r>
    </w:p>
    <w:p w14:paraId="2E7570FD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rozporządzenie </w:t>
      </w:r>
      <w:r w:rsidRPr="00ED4EFC">
        <w:rPr>
          <w:rFonts w:ascii="Arial" w:eastAsia="Times New Roman" w:hAnsi="Arial" w:cs="Arial"/>
          <w:lang w:eastAsia="pl-PL"/>
        </w:rPr>
        <w:t xml:space="preserve">– Rozporządzenie Parlamentu Europejskiego i Rady  (UE) 2021/1060 </w:t>
      </w:r>
      <w:r w:rsidRPr="00ED4EFC">
        <w:rPr>
          <w:rFonts w:ascii="Arial" w:eastAsia="Times New Roman" w:hAnsi="Arial" w:cs="Arial"/>
          <w:lang w:eastAsia="pl-PL"/>
        </w:rPr>
        <w:br/>
        <w:t>z dnia 24 czerwca 2021;</w:t>
      </w:r>
    </w:p>
    <w:p w14:paraId="6A7C5C38" w14:textId="20B6D089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ustawa RLKS</w:t>
      </w:r>
      <w:r w:rsidRPr="00ED4EFC">
        <w:rPr>
          <w:rFonts w:ascii="Arial" w:eastAsia="Times New Roman" w:hAnsi="Arial" w:cs="Arial"/>
          <w:lang w:eastAsia="pl-PL"/>
        </w:rPr>
        <w:t xml:space="preserve"> – Ustawa z dnia 20 lutego 2015 r. o rozwoju lokalnym z udziałem lokalnej społeczności </w:t>
      </w:r>
      <w:r w:rsidR="007D656D" w:rsidRPr="00CB20E2">
        <w:rPr>
          <w:rFonts w:ascii="Arial" w:eastAsia="Times New Roman" w:hAnsi="Arial" w:cs="Arial"/>
          <w:lang w:eastAsia="pl-PL"/>
        </w:rPr>
        <w:t>(Dz. U. z 2025 r., poz. 182)</w:t>
      </w:r>
      <w:r w:rsidRPr="00CB20E2">
        <w:rPr>
          <w:rFonts w:ascii="Arial" w:eastAsia="Times New Roman" w:hAnsi="Arial" w:cs="Arial"/>
          <w:lang w:eastAsia="pl-PL"/>
        </w:rPr>
        <w:t>;</w:t>
      </w:r>
    </w:p>
    <w:p w14:paraId="3FEAC708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ustawa wdrożeniowa</w:t>
      </w:r>
      <w:r w:rsidRPr="00ED4EFC">
        <w:rPr>
          <w:rFonts w:ascii="Arial" w:eastAsia="Times New Roman" w:hAnsi="Arial" w:cs="Arial"/>
          <w:lang w:eastAsia="pl-PL"/>
        </w:rPr>
        <w:t xml:space="preserve"> – Ustawa z dnia 28 kwietnia 2022 r o zasadach realizacji zadań finansowanych ze środków europejskich w perspektywie finansowej 2021 – 2027 (Dz. U. z 2022 r., poz. 1079);</w:t>
      </w:r>
    </w:p>
    <w:p w14:paraId="2CE24CF5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ustawa o finansach publicznych </w:t>
      </w:r>
      <w:r w:rsidRPr="00ED4EFC">
        <w:rPr>
          <w:rFonts w:ascii="Arial" w:eastAsia="Times New Roman" w:hAnsi="Arial" w:cs="Arial"/>
          <w:lang w:eastAsia="pl-PL"/>
        </w:rPr>
        <w:t>– Ustawa z dnia 27 sierpnia 2009 r. o finansach publicznych (Dz. U. z 2023 r., poz. 1270);</w:t>
      </w:r>
    </w:p>
    <w:p w14:paraId="00AF1EB0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ustawa o ochronie małoletnich </w:t>
      </w:r>
      <w:r w:rsidRPr="00ED4EFC">
        <w:rPr>
          <w:rFonts w:ascii="Arial" w:eastAsia="Times New Roman" w:hAnsi="Arial" w:cs="Arial"/>
          <w:lang w:eastAsia="pl-PL"/>
        </w:rPr>
        <w:t xml:space="preserve">- Ustawa z dnia 16 maja 2016 r. o przeciwdziałaniu zagrożeniom przestępczością na tle seksualnym i ochronie małoletnich (Dz. U. z 2024 r. poz. 560 </w:t>
      </w:r>
      <w:proofErr w:type="spellStart"/>
      <w:r w:rsidRPr="00ED4EFC">
        <w:rPr>
          <w:rFonts w:ascii="Arial" w:eastAsia="Times New Roman" w:hAnsi="Arial" w:cs="Arial"/>
          <w:lang w:eastAsia="pl-PL"/>
        </w:rPr>
        <w:t>t.j</w:t>
      </w:r>
      <w:proofErr w:type="spellEnd"/>
      <w:r w:rsidRPr="00ED4EFC">
        <w:rPr>
          <w:rFonts w:ascii="Arial" w:eastAsia="Times New Roman" w:hAnsi="Arial" w:cs="Arial"/>
          <w:lang w:eastAsia="pl-PL"/>
        </w:rPr>
        <w:t>.);</w:t>
      </w:r>
    </w:p>
    <w:p w14:paraId="5938E495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program </w:t>
      </w:r>
      <w:r w:rsidRPr="00ED4EFC">
        <w:rPr>
          <w:rFonts w:ascii="Arial" w:eastAsia="Times New Roman" w:hAnsi="Arial" w:cs="Arial"/>
          <w:lang w:eastAsia="pl-PL"/>
        </w:rPr>
        <w:t>– Program Fundusze Europejskie dla Podkarpacia 2021 – 2027 (FEP 2021 – 2027);</w:t>
      </w:r>
    </w:p>
    <w:p w14:paraId="76A60D21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SZOP </w:t>
      </w:r>
      <w:r w:rsidRPr="00ED4EFC">
        <w:rPr>
          <w:rFonts w:ascii="Arial" w:eastAsia="Times New Roman" w:hAnsi="Arial" w:cs="Arial"/>
          <w:lang w:eastAsia="pl-PL"/>
        </w:rPr>
        <w:t>– szczegółowy opis priorytetów dla FEP 2021 – 2027;</w:t>
      </w:r>
    </w:p>
    <w:p w14:paraId="5B52B0F5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wytyczne </w:t>
      </w:r>
      <w:r w:rsidRPr="00ED4EFC">
        <w:rPr>
          <w:rFonts w:ascii="Arial" w:eastAsia="Times New Roman" w:hAnsi="Arial" w:cs="Arial"/>
          <w:lang w:eastAsia="pl-PL"/>
        </w:rPr>
        <w:t>–</w:t>
      </w:r>
      <w:r w:rsidRPr="00ED4EFC">
        <w:rPr>
          <w:rFonts w:ascii="Arial" w:eastAsia="Times New Roman" w:hAnsi="Arial" w:cs="Arial"/>
          <w:b/>
          <w:lang w:eastAsia="pl-PL"/>
        </w:rPr>
        <w:t xml:space="preserve"> </w:t>
      </w:r>
      <w:r w:rsidRPr="00ED4EFC">
        <w:rPr>
          <w:rFonts w:ascii="Arial" w:eastAsia="Times New Roman" w:hAnsi="Arial" w:cs="Arial"/>
          <w:lang w:eastAsia="pl-PL"/>
        </w:rPr>
        <w:t>Wytyczne dotyczące realizacji projektów z udziałem środków Europejskiego Funduszu Społecznego Plus w regionalnych programach na lata 2021 – 2027;</w:t>
      </w:r>
    </w:p>
    <w:p w14:paraId="0E5B9E85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wytyczne kwalifikowalności </w:t>
      </w:r>
      <w:r w:rsidRPr="00ED4EFC">
        <w:rPr>
          <w:rFonts w:ascii="Arial" w:eastAsia="Times New Roman" w:hAnsi="Arial" w:cs="Arial"/>
          <w:lang w:eastAsia="pl-PL"/>
        </w:rPr>
        <w:t>–</w:t>
      </w:r>
      <w:r w:rsidRPr="00ED4EFC">
        <w:rPr>
          <w:rFonts w:ascii="Arial" w:eastAsia="Times New Roman" w:hAnsi="Arial" w:cs="Arial"/>
          <w:b/>
          <w:lang w:eastAsia="pl-PL"/>
        </w:rPr>
        <w:t xml:space="preserve"> </w:t>
      </w:r>
      <w:r w:rsidRPr="00ED4EFC">
        <w:rPr>
          <w:rFonts w:ascii="Arial" w:eastAsia="Times New Roman" w:hAnsi="Arial" w:cs="Arial"/>
          <w:lang w:eastAsia="pl-PL"/>
        </w:rPr>
        <w:t xml:space="preserve">wytyczne dotyczące kwalifikowalności wydatków na lata 2021–2027, wydane na  podstawie art.5 ust. 1 pkt 2 ustawy wdrożeniowej; </w:t>
      </w:r>
    </w:p>
    <w:p w14:paraId="6BDCFCED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wytyczne monitorowania </w:t>
      </w:r>
      <w:r w:rsidRPr="00ED4EFC">
        <w:rPr>
          <w:rFonts w:ascii="Arial" w:eastAsia="Times New Roman" w:hAnsi="Arial" w:cs="Arial"/>
          <w:lang w:eastAsia="pl-PL"/>
        </w:rPr>
        <w:t>– wytyczne dotyczące monitorowania postępu rzeczowego realizacji programów na lata 2021 – 2027, wydane na  podstawie art.5 ust. 1 pkt 3 ustawy wdrożeniowej;</w:t>
      </w:r>
    </w:p>
    <w:p w14:paraId="17DFFB2C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wytyczne równościowe </w:t>
      </w:r>
      <w:r w:rsidRPr="00ED4EFC">
        <w:rPr>
          <w:rFonts w:ascii="Arial" w:eastAsia="Times New Roman" w:hAnsi="Arial" w:cs="Arial"/>
          <w:lang w:eastAsia="pl-PL"/>
        </w:rPr>
        <w:t xml:space="preserve">– wytyczne dotyczące realizacji zasad równościowych </w:t>
      </w:r>
      <w:r w:rsidRPr="00ED4EFC">
        <w:rPr>
          <w:rFonts w:ascii="Arial" w:eastAsia="Times New Roman" w:hAnsi="Arial" w:cs="Arial"/>
          <w:lang w:eastAsia="pl-PL"/>
        </w:rPr>
        <w:br/>
        <w:t>w ramach funduszy unijnych na lata 2021 – 2027;</w:t>
      </w:r>
    </w:p>
    <w:p w14:paraId="06B39031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wytyczne szczegółowe </w:t>
      </w:r>
      <w:r w:rsidRPr="00ED4EFC">
        <w:rPr>
          <w:rFonts w:ascii="Arial" w:eastAsia="Times New Roman" w:hAnsi="Arial" w:cs="Arial"/>
          <w:lang w:eastAsia="pl-PL"/>
        </w:rPr>
        <w:t>- wytyczne w zakresie niektórych zasad dokonywania wyboru operacji lub grantobiorców przez lokalne grupy działania;</w:t>
      </w:r>
    </w:p>
    <w:p w14:paraId="31AF6D09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regulamin </w:t>
      </w:r>
      <w:r w:rsidRPr="00ED4EFC">
        <w:rPr>
          <w:rFonts w:ascii="Arial" w:eastAsia="Times New Roman" w:hAnsi="Arial" w:cs="Arial"/>
          <w:lang w:eastAsia="pl-PL"/>
        </w:rPr>
        <w:t>– regulamin naboru wniosków o powierzenie grantu;</w:t>
      </w:r>
    </w:p>
    <w:p w14:paraId="31F6C5D1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projekt grantowy –</w:t>
      </w:r>
      <w:r w:rsidRPr="00ED4EFC">
        <w:rPr>
          <w:rFonts w:ascii="Arial" w:eastAsia="Times New Roman" w:hAnsi="Arial" w:cs="Arial"/>
          <w:lang w:eastAsia="pl-PL"/>
        </w:rPr>
        <w:t xml:space="preserve"> operacja, w ramach której beneficjent będący LGD udziela innym podmiotom wybranym przez LGD, zwanymi dalej „</w:t>
      </w:r>
      <w:proofErr w:type="spellStart"/>
      <w:r w:rsidRPr="00ED4EFC">
        <w:rPr>
          <w:rFonts w:ascii="Arial" w:eastAsia="Times New Roman" w:hAnsi="Arial" w:cs="Arial"/>
          <w:lang w:eastAsia="pl-PL"/>
        </w:rPr>
        <w:t>grantobiorcami</w:t>
      </w:r>
      <w:proofErr w:type="spellEnd"/>
      <w:r w:rsidRPr="00ED4EFC">
        <w:rPr>
          <w:rFonts w:ascii="Arial" w:eastAsia="Times New Roman" w:hAnsi="Arial" w:cs="Arial"/>
          <w:lang w:eastAsia="pl-PL"/>
        </w:rPr>
        <w:t>”, grantów na realizację zadań służących osiągnięciu celu tej operacji;</w:t>
      </w:r>
    </w:p>
    <w:p w14:paraId="630FAAB5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lastRenderedPageBreak/>
        <w:t xml:space="preserve">grantodawca/ beneficjent projektu grantowego – </w:t>
      </w:r>
      <w:r w:rsidRPr="00ED4EFC">
        <w:rPr>
          <w:rFonts w:ascii="Arial" w:eastAsia="Times New Roman" w:hAnsi="Arial" w:cs="Arial"/>
          <w:lang w:eastAsia="pl-PL"/>
        </w:rPr>
        <w:t>Stowarzyszenie “Lokalna Grupa Działania - Lider Dolina Strugu”,</w:t>
      </w:r>
      <w:r w:rsidRPr="00ED4EFC">
        <w:rPr>
          <w:rFonts w:ascii="Arial" w:eastAsia="Times New Roman" w:hAnsi="Arial" w:cs="Arial"/>
          <w:b/>
          <w:lang w:eastAsia="pl-PL"/>
        </w:rPr>
        <w:t xml:space="preserve"> </w:t>
      </w:r>
      <w:r w:rsidRPr="00ED4EFC">
        <w:rPr>
          <w:rFonts w:ascii="Arial" w:eastAsia="Times New Roman" w:hAnsi="Arial" w:cs="Arial"/>
          <w:lang w:eastAsia="pl-PL"/>
        </w:rPr>
        <w:t>będące</w:t>
      </w:r>
      <w:r w:rsidRPr="00ED4EFC">
        <w:rPr>
          <w:rFonts w:ascii="Arial" w:eastAsia="Times New Roman" w:hAnsi="Arial" w:cs="Arial"/>
          <w:b/>
          <w:lang w:eastAsia="pl-PL"/>
        </w:rPr>
        <w:t xml:space="preserve"> </w:t>
      </w:r>
      <w:r w:rsidRPr="00ED4EFC">
        <w:rPr>
          <w:rFonts w:ascii="Arial" w:eastAsia="Times New Roman" w:hAnsi="Arial" w:cs="Arial"/>
          <w:lang w:eastAsia="pl-PL"/>
        </w:rPr>
        <w:t>podmiotem udzielającym grantów w ramach opracowanej procedury;</w:t>
      </w:r>
    </w:p>
    <w:p w14:paraId="6B14BC0A" w14:textId="209AB23A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grantobiorca </w:t>
      </w:r>
      <w:r w:rsidRPr="00ED4EFC">
        <w:rPr>
          <w:rFonts w:ascii="Arial" w:eastAsia="Times New Roman" w:hAnsi="Arial" w:cs="Arial"/>
          <w:lang w:eastAsia="pl-PL"/>
        </w:rPr>
        <w:t>– podmiot publiczny albo prywatny, wybrany w drodze otwartego konkursu ogłoszonego przez LGD w ramach realizacji projektu grantowego.</w:t>
      </w:r>
    </w:p>
    <w:p w14:paraId="157EC71E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zadanie –</w:t>
      </w:r>
      <w:r w:rsidRPr="00ED4EFC">
        <w:rPr>
          <w:rFonts w:ascii="Arial" w:eastAsia="Times New Roman" w:hAnsi="Arial" w:cs="Arial"/>
          <w:lang w:eastAsia="pl-PL"/>
        </w:rPr>
        <w:t xml:space="preserve"> wyodrębniony zakres projektu grantowego, który ma być realizowany przez pojedynczego </w:t>
      </w:r>
      <w:proofErr w:type="spellStart"/>
      <w:r w:rsidRPr="00ED4EFC">
        <w:rPr>
          <w:rFonts w:ascii="Arial" w:eastAsia="Times New Roman" w:hAnsi="Arial" w:cs="Arial"/>
          <w:lang w:eastAsia="pl-PL"/>
        </w:rPr>
        <w:t>grantobiorcę</w:t>
      </w:r>
      <w:proofErr w:type="spellEnd"/>
      <w:r w:rsidRPr="00ED4EFC">
        <w:rPr>
          <w:rFonts w:ascii="Arial" w:eastAsia="Times New Roman" w:hAnsi="Arial" w:cs="Arial"/>
          <w:lang w:eastAsia="pl-PL"/>
        </w:rPr>
        <w:t>, zgodnie z umową o powierzenie grantu;</w:t>
      </w:r>
    </w:p>
    <w:p w14:paraId="3BA98A90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>grant –</w:t>
      </w:r>
      <w:r w:rsidRPr="00ED4EFC">
        <w:rPr>
          <w:rFonts w:ascii="Arial" w:eastAsia="Times New Roman" w:hAnsi="Arial" w:cs="Arial"/>
          <w:lang w:eastAsia="pl-PL"/>
        </w:rPr>
        <w:t xml:space="preserve"> środki finansowe, które grantodawca powierzył grantobiorcy, na realizację zadań służących osiągnięciu celu projektu grantowego;</w:t>
      </w:r>
    </w:p>
    <w:p w14:paraId="723586C8" w14:textId="77777777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wniosek – </w:t>
      </w:r>
      <w:r w:rsidRPr="00ED4EFC">
        <w:rPr>
          <w:rFonts w:ascii="Arial" w:eastAsia="Times New Roman" w:hAnsi="Arial" w:cs="Arial"/>
          <w:lang w:eastAsia="pl-PL"/>
        </w:rPr>
        <w:t>wniosek o powierzenie grantu</w:t>
      </w:r>
      <w:r w:rsidRPr="00ED4EFC">
        <w:rPr>
          <w:rFonts w:ascii="Arial" w:eastAsia="Times New Roman" w:hAnsi="Arial" w:cs="Arial"/>
          <w:b/>
          <w:lang w:eastAsia="pl-PL"/>
        </w:rPr>
        <w:t xml:space="preserve"> </w:t>
      </w:r>
      <w:r w:rsidRPr="00ED4EFC">
        <w:rPr>
          <w:rFonts w:ascii="Arial" w:eastAsia="Times New Roman" w:hAnsi="Arial" w:cs="Arial"/>
          <w:lang w:eastAsia="pl-PL"/>
        </w:rPr>
        <w:t>składany do LGD w ramach otwartego naboru, na realizację zadań służących osiągnięciu celu projektu grantowego;</w:t>
      </w:r>
    </w:p>
    <w:p w14:paraId="0A80AA02" w14:textId="321B8B13" w:rsidR="00E72513" w:rsidRPr="00ED4EFC" w:rsidRDefault="00E72513" w:rsidP="00E7251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ED4EFC">
        <w:rPr>
          <w:rFonts w:ascii="Arial" w:eastAsia="Times New Roman" w:hAnsi="Arial" w:cs="Arial"/>
          <w:b/>
          <w:lang w:eastAsia="pl-PL"/>
        </w:rPr>
        <w:t xml:space="preserve">umowa o powierzenie grantu – </w:t>
      </w:r>
      <w:r w:rsidRPr="00ED4EFC">
        <w:rPr>
          <w:rFonts w:ascii="Arial" w:eastAsia="Times New Roman" w:hAnsi="Arial" w:cs="Arial"/>
          <w:lang w:eastAsia="pl-PL"/>
        </w:rPr>
        <w:t xml:space="preserve">umowa zawierana między grantobiorcą a beneficjentem projektu grantowego (LGD), określająca szczegółowe zasady, tryb </w:t>
      </w:r>
      <w:r w:rsidRPr="00ED4EFC">
        <w:rPr>
          <w:rFonts w:ascii="Arial" w:eastAsia="Times New Roman" w:hAnsi="Arial" w:cs="Arial"/>
          <w:lang w:eastAsia="pl-PL"/>
        </w:rPr>
        <w:br/>
        <w:t>i warunki realizacji oraz rozliczenia wydatków w ramach projektu poprzez sformułowanie praw i</w:t>
      </w:r>
      <w:r w:rsidR="0019468D" w:rsidRPr="00ED4EFC">
        <w:rPr>
          <w:rFonts w:ascii="Arial" w:eastAsia="Times New Roman" w:hAnsi="Arial" w:cs="Arial"/>
          <w:lang w:eastAsia="pl-PL"/>
        </w:rPr>
        <w:t> </w:t>
      </w:r>
      <w:r w:rsidRPr="00ED4EFC">
        <w:rPr>
          <w:rFonts w:ascii="Arial" w:eastAsia="Times New Roman" w:hAnsi="Arial" w:cs="Arial"/>
          <w:lang w:eastAsia="pl-PL"/>
        </w:rPr>
        <w:t>obowiązków.</w:t>
      </w:r>
      <w:bookmarkEnd w:id="3"/>
    </w:p>
    <w:p w14:paraId="0506D23E" w14:textId="77777777" w:rsidR="00E72513" w:rsidRPr="00ED4EFC" w:rsidRDefault="00E72513" w:rsidP="00E7251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1BC3AE2" w14:textId="77777777" w:rsidR="00E72513" w:rsidRPr="00ED4EFC" w:rsidRDefault="00E72513" w:rsidP="00E72513">
      <w:pPr>
        <w:spacing w:after="0" w:line="276" w:lineRule="auto"/>
        <w:ind w:left="1080"/>
        <w:jc w:val="center"/>
        <w:rPr>
          <w:rFonts w:ascii="Arial" w:eastAsia="Times New Roman" w:hAnsi="Arial" w:cs="Arial"/>
          <w:lang w:eastAsia="pl-PL"/>
        </w:rPr>
      </w:pPr>
    </w:p>
    <w:p w14:paraId="5D2BF04D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9AEB214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bookmarkStart w:id="4" w:name="_Toc182303969"/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§ 2</w:t>
      </w:r>
    </w:p>
    <w:p w14:paraId="3DF2AFFD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Zasady ogłaszania naboru, sporządzania i składania wniosków o powierzenie grantu</w:t>
      </w:r>
      <w:bookmarkEnd w:id="4"/>
    </w:p>
    <w:p w14:paraId="2256472B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2F4F052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LGD zgodnie z harmonogramem naboru wniosków uzgodnionym z ZW podaje do publicznej wiadomości ogłoszenie o naborze wniosków na powierzenie grantów w ramach realizacji projektu grantowego.</w:t>
      </w:r>
    </w:p>
    <w:p w14:paraId="69B4605D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LGD zamieszcza ogłoszenie o naborze wniosków w szczególności na swojej stronie internetowej. Nabór wniosków trwa co najmniej 10 dni i kończy się nie wcześniej niż po 40 dniach od dnia upublicznienia ogłoszenia o naborze. </w:t>
      </w:r>
    </w:p>
    <w:p w14:paraId="47E1C32D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Ogłoszenie o którym mowa w ust. 2 zawiera co najmniej:</w:t>
      </w:r>
    </w:p>
    <w:p w14:paraId="3B0964B3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nazwę LGD;</w:t>
      </w:r>
    </w:p>
    <w:p w14:paraId="7268E836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przedmiot naboru wniosków;</w:t>
      </w:r>
    </w:p>
    <w:p w14:paraId="3DA160DE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informację o podmiotach uprawnionych o ubieganie się o powierzenie grantu;</w:t>
      </w:r>
    </w:p>
    <w:p w14:paraId="730E0B39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termin, miejsce oraz formę składania wniosków o powierzenie grantu;</w:t>
      </w:r>
    </w:p>
    <w:p w14:paraId="7CD17D18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miejsce publikacji regulaminu naboru wniosków;</w:t>
      </w:r>
    </w:p>
    <w:p w14:paraId="0BB8F76F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dane do kontaktu.</w:t>
      </w:r>
    </w:p>
    <w:p w14:paraId="51F91E96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LGD, najpóźniej w dniu podania do publicznej wiadomości ogłoszenia o naborze, zamieszcza na swojej stronie internetowej komplet dokumentów, zawierający w szczególności wszelkie niezbędne informacje na temat organizowanego naboru, w tym regulamin, kryteria wyboru grantobiorców wraz z ich opisem oraz wzory obowiązujących formularzy. Powyższe dokumenty są także dostępne w biurze LGD.</w:t>
      </w:r>
    </w:p>
    <w:p w14:paraId="5D174259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miejscu zamieszczenia na stronie internetowej ogłoszenia o naborze wniosków LGD podaje datę jego publikacji (</w:t>
      </w:r>
      <w:proofErr w:type="spellStart"/>
      <w:r w:rsidRPr="00ED4EFC">
        <w:rPr>
          <w:rFonts w:ascii="Arial" w:eastAsia="Calibri" w:hAnsi="Arial" w:cs="Arial"/>
        </w:rPr>
        <w:t>dd</w:t>
      </w:r>
      <w:proofErr w:type="spellEnd"/>
      <w:r w:rsidRPr="00ED4EFC">
        <w:rPr>
          <w:rFonts w:ascii="Arial" w:eastAsia="Calibri" w:hAnsi="Arial" w:cs="Arial"/>
        </w:rPr>
        <w:t>/mm/</w:t>
      </w:r>
      <w:proofErr w:type="spellStart"/>
      <w:r w:rsidRPr="00ED4EFC">
        <w:rPr>
          <w:rFonts w:ascii="Arial" w:eastAsia="Calibri" w:hAnsi="Arial" w:cs="Arial"/>
        </w:rPr>
        <w:t>rrrr</w:t>
      </w:r>
      <w:proofErr w:type="spellEnd"/>
      <w:r w:rsidRPr="00ED4EFC">
        <w:rPr>
          <w:rFonts w:ascii="Arial" w:eastAsia="Calibri" w:hAnsi="Arial" w:cs="Arial"/>
        </w:rPr>
        <w:t>).</w:t>
      </w:r>
    </w:p>
    <w:p w14:paraId="605932B6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Regulamin naboru wniosków o powierzenie grantów, którego projekt przekazywany jest do uzgodnienia z ZWP co najmniej 60 dni przed planowanym naborem wniosków, określa co najmniej:</w:t>
      </w:r>
    </w:p>
    <w:p w14:paraId="58FB5CE9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informację o planowanych do realizacji w ramach projektu grantowego zadaniach;</w:t>
      </w:r>
    </w:p>
    <w:p w14:paraId="3E284CF5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limit środków przeznaczonych na realizację projektu grantowego;</w:t>
      </w:r>
    </w:p>
    <w:p w14:paraId="2B1D2594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maksymalny dopuszczalny poziom wsparcia na realizację zadania, kwotę grantów na realizację poszczególnych zadań;</w:t>
      </w:r>
    </w:p>
    <w:p w14:paraId="183758B0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>formę wsparcia realizacji zadań;</w:t>
      </w:r>
    </w:p>
    <w:p w14:paraId="1E521B13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warunki udzielania wsparcia na realizację zadań, np. terminy realizacji zadań;</w:t>
      </w:r>
    </w:p>
    <w:p w14:paraId="4EE57826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termin składania wniosków o udzielenie grantu;</w:t>
      </w:r>
    </w:p>
    <w:p w14:paraId="543F3840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przesłanki unieważnienia naboru wniosków o udzielenie grantu;</w:t>
      </w:r>
    </w:p>
    <w:p w14:paraId="185DBF0D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sposób i formę składania wniosków o powierzenie grantów oraz informację o dokumentach niezbędnych do udzielenia grantu;</w:t>
      </w:r>
    </w:p>
    <w:p w14:paraId="5F771A5B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kryteria wyboru grantobiorców wraz z podaniem min. liczby punktów uprawniającej do wyboru grantobiorcy;</w:t>
      </w:r>
    </w:p>
    <w:p w14:paraId="773AFD95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zakres w jakim jest możliwe uzupełnienie lub poprawienie wniosków o udzielenie grantów, oraz sposób, formę i termin złożenia uzupełnień i poprawek;</w:t>
      </w:r>
    </w:p>
    <w:p w14:paraId="2D1F25E1" w14:textId="333CEFC9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sposób wymiany korespondencji między grantobiorcą a LGD;</w:t>
      </w:r>
    </w:p>
    <w:p w14:paraId="1EFD002F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czynności, które powinny być dokonane przed udzieleniem grantu, oraz termin ich dokonania;</w:t>
      </w:r>
    </w:p>
    <w:p w14:paraId="6AFCBD93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 opis procedury udzielania grantów, w tym wskazanie i opis postępowania z wnioskiem o udzielenie grantu;</w:t>
      </w:r>
    </w:p>
    <w:p w14:paraId="7D019A93" w14:textId="77777777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informację o miejscu udostępnienia LSR, formularza wniosku o udzielenie grantu oraz innych dokumentów;</w:t>
      </w:r>
    </w:p>
    <w:p w14:paraId="4193E214" w14:textId="4C76E733" w:rsidR="00E72513" w:rsidRPr="00ED4EFC" w:rsidRDefault="00E72513" w:rsidP="00E72513">
      <w:pPr>
        <w:numPr>
          <w:ilvl w:val="1"/>
          <w:numId w:val="2"/>
        </w:numPr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informację o środkach zaskarżania przysługujących grantobiorcy oraz podmiot właściwy do ich rozpatrzenia.</w:t>
      </w:r>
    </w:p>
    <w:p w14:paraId="6154E9A9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LGD może zmienić regulamin naboru wniosków, z wyjątkiem zmiany dotyczącej zwiększenia kwoty przeznaczonej na udzielenie wsparcia w ramach danego naboru. Jest to dopuszczalne wyłącznie w sytuacji, w której w ramach danego naboru nie złożono jeszcze wniosku o powierzenie grantu. Zmiana ta wymaga uzgodnienia z ZWP i skutkuje wydłużeniem terminu składania wniosków o powierzenie grantu o czas niezbędny do przygotowania i złożenia wniosku.</w:t>
      </w:r>
    </w:p>
    <w:p w14:paraId="1194F4C7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Zapisów ust. 7 nie stosuje się, jeżeli konieczność zmiany dokumentów wynika z odrębnych przepisów, ze zmiany warunków określonych w przepisach regulujących zasady wsparcia </w:t>
      </w:r>
      <w:r w:rsidRPr="00ED4EFC">
        <w:rPr>
          <w:rFonts w:ascii="Arial" w:eastAsia="Calibri" w:hAnsi="Arial" w:cs="Arial"/>
        </w:rPr>
        <w:br/>
        <w:t>z udziałem EFS+ lub na podstawie tych przepisów.</w:t>
      </w:r>
    </w:p>
    <w:p w14:paraId="1A7F3DDA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przypadku zmiany treści regulaminu naboru należy, w miejscu jego zamieszczenia, podać datę pierwszej publikacji, datę zmiany oraz wskazać zakres tej zmiany.</w:t>
      </w:r>
    </w:p>
    <w:p w14:paraId="1E749995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LGD dokonuje numeracji kolejnych ogłoszeń naborów wniosków o powierzenie grantów w następujący sposób – kolejny nr ogłoszenia/rok/G/EFS+ (np. 1/2024/G/EFS+). W przypadku gdy nabór będzie przeprowadzany na przełomie dwóch lat (np. 2024/2025) nr ogłoszenia naboru będzie określony jako pierwszy nabór w roku w którym następuje koniec terminu powyższego naboru (np. 1/2025/G/EFS+).</w:t>
      </w:r>
    </w:p>
    <w:p w14:paraId="7A34A43E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LGD na stronie internetowej dokonuje archiwizacji wszystkich ogłoszeń naborów wniosków o powierzenie grantów przeprowadzonych w ramach perspektywy 2021-2027 do końca 2034 roku.</w:t>
      </w:r>
    </w:p>
    <w:p w14:paraId="508DEACA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Warunkiem uczestnictwa w naborze jest złożenie wniosku o powierzenie grantu (w wersji papierowej) na wzorze udostępnionym przez LGD, wraz z wymaganymi załącznikami w terminie i miejscu wskazanym w regulaminie publikowanym przez LGD.</w:t>
      </w:r>
    </w:p>
    <w:p w14:paraId="6F75226B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Za moment złożenia wniosku uznaje się datę wpływu wniosku wraz z załącznikami do biura LGD. Złożenie wniosku potwierdza się pieczęcią wraz z datą i godziną wpływu, liczbą złożonych wraz z wnioskiem załączników oraz podpisem osoby przyjmującej wniosek. </w:t>
      </w:r>
    </w:p>
    <w:p w14:paraId="7BB6574E" w14:textId="77777777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Przyjęte wnioski otrzymują kolejne numery zgodnie z wzorem: numer naboru/numer kolejny wniosku. Wnioski są rejestrowane w rejestrze wniosków, prowadzonym w siedzibie LGD.</w:t>
      </w:r>
    </w:p>
    <w:p w14:paraId="1D405608" w14:textId="6FE3CDD9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 xml:space="preserve">Na każdym etapie oceny i wyboru wniosku grantobiorcy przysługuje prawo do wycofania wniosku. W tym celu grantobiorca powinien złożyć w biurze LGD pismo wycofujące podpisane przez siebie lub osoby upoważnione do reprezentacji grantobiorcy. </w:t>
      </w:r>
    </w:p>
    <w:p w14:paraId="48312CC6" w14:textId="37ED34A5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Wniosek wycofany zwracany jest wraz z załącznikami grantobiorcy bezpośrednio w biurze LGD z tym, że LGD zachowuje kopię dokumentu.</w:t>
      </w:r>
    </w:p>
    <w:p w14:paraId="218F86CB" w14:textId="220965BA" w:rsidR="00E72513" w:rsidRPr="00ED4EFC" w:rsidRDefault="00E72513" w:rsidP="00E72513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przypadku braku możliwości bezpośredniego zwrotu formularza do rąk grantobiorcy, zwrot dokonywany jest drogą pocztową, listem poleconym za potwierdzeniem odbioru.</w:t>
      </w:r>
    </w:p>
    <w:p w14:paraId="1A32CB93" w14:textId="77777777" w:rsidR="00E72513" w:rsidRPr="00ED4EFC" w:rsidRDefault="00E72513" w:rsidP="00E72513">
      <w:pPr>
        <w:spacing w:after="0" w:line="276" w:lineRule="auto"/>
        <w:ind w:left="714"/>
        <w:contextualSpacing/>
        <w:jc w:val="both"/>
        <w:rPr>
          <w:rFonts w:ascii="Arial" w:eastAsia="Calibri" w:hAnsi="Arial" w:cs="Arial"/>
          <w:lang w:val="x-none"/>
        </w:rPr>
      </w:pPr>
    </w:p>
    <w:p w14:paraId="29B8983A" w14:textId="77777777" w:rsidR="00E72513" w:rsidRPr="00ED4EFC" w:rsidRDefault="00E72513" w:rsidP="00E72513">
      <w:pPr>
        <w:spacing w:after="0" w:line="276" w:lineRule="auto"/>
        <w:ind w:left="714"/>
        <w:contextualSpacing/>
        <w:jc w:val="both"/>
        <w:rPr>
          <w:rFonts w:ascii="Arial" w:eastAsia="Calibri" w:hAnsi="Arial" w:cs="Arial"/>
          <w:lang w:val="x-none"/>
        </w:rPr>
      </w:pPr>
    </w:p>
    <w:p w14:paraId="29B4AA09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bookmarkStart w:id="5" w:name="_Toc182303970"/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§ 3</w:t>
      </w:r>
    </w:p>
    <w:p w14:paraId="12EBE141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Ocena wniosków i ustalenie kwoty grantu</w:t>
      </w:r>
      <w:bookmarkEnd w:id="5"/>
    </w:p>
    <w:p w14:paraId="7E2D471D" w14:textId="77777777" w:rsidR="00E72513" w:rsidRPr="00ED4EFC" w:rsidRDefault="00E72513" w:rsidP="00E72513">
      <w:pPr>
        <w:spacing w:after="0" w:line="276" w:lineRule="auto"/>
        <w:ind w:left="644"/>
        <w:contextualSpacing/>
        <w:rPr>
          <w:rFonts w:ascii="Arial" w:eastAsia="Calibri" w:hAnsi="Arial" w:cs="Arial"/>
          <w:lang w:val="x-none"/>
        </w:rPr>
      </w:pPr>
    </w:p>
    <w:p w14:paraId="2A0E0ED6" w14:textId="3F474579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Ocena wniosków następuje w trakcie posiedzenia Rady w terminie do 60 dni od zakończenia naboru wniosków, zgodnie z Regulaminem Rady oraz z uwzględnieniem zapisów art. 33 ust.</w:t>
      </w:r>
      <w:r w:rsidR="0019468D" w:rsidRPr="00ED4EFC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3</w:t>
      </w:r>
      <w:r w:rsidR="0019468D" w:rsidRPr="00ED4EFC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lit. d rozporządzenia nr 2021/1060, niniejszej procedury oraz regulaminu.</w:t>
      </w:r>
    </w:p>
    <w:p w14:paraId="785BDF69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Przed ogłoszeniem pierwszego naboru zostanie utworzony </w:t>
      </w:r>
      <w:r w:rsidRPr="00ED4EFC">
        <w:rPr>
          <w:rFonts w:ascii="Arial" w:eastAsia="Calibri" w:hAnsi="Arial" w:cs="Arial"/>
          <w:b/>
        </w:rPr>
        <w:t>Rejestr interesów członków Rady</w:t>
      </w:r>
      <w:r w:rsidRPr="00ED4EFC">
        <w:rPr>
          <w:rFonts w:ascii="Arial" w:eastAsia="Calibri" w:hAnsi="Arial" w:cs="Arial"/>
        </w:rPr>
        <w:t xml:space="preserve"> </w:t>
      </w:r>
      <w:r w:rsidRPr="00ED4EFC">
        <w:rPr>
          <w:rFonts w:ascii="Arial" w:eastAsia="Calibri" w:hAnsi="Arial" w:cs="Arial"/>
          <w:i/>
        </w:rPr>
        <w:t>(zał. nr 1 do procedury)</w:t>
      </w:r>
      <w:r w:rsidRPr="00ED4EFC">
        <w:rPr>
          <w:rFonts w:ascii="Arial" w:eastAsia="Calibri" w:hAnsi="Arial" w:cs="Arial"/>
        </w:rPr>
        <w:t>.</w:t>
      </w:r>
    </w:p>
    <w:p w14:paraId="7796BDC5" w14:textId="68C8A7D0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Przed oceną wniosków zostanie sporządzony </w:t>
      </w:r>
      <w:r w:rsidRPr="00ED4EFC">
        <w:rPr>
          <w:rFonts w:ascii="Arial" w:eastAsia="Calibri" w:hAnsi="Arial" w:cs="Arial"/>
          <w:b/>
        </w:rPr>
        <w:t>Rejestr konfliktów interesów</w:t>
      </w:r>
      <w:r w:rsidRPr="00ED4EFC">
        <w:rPr>
          <w:rFonts w:ascii="Arial" w:eastAsia="Calibri" w:hAnsi="Arial" w:cs="Arial"/>
        </w:rPr>
        <w:t xml:space="preserve"> </w:t>
      </w:r>
      <w:r w:rsidRPr="00ED4EFC">
        <w:rPr>
          <w:rFonts w:ascii="Arial" w:eastAsia="Calibri" w:hAnsi="Arial" w:cs="Arial"/>
          <w:i/>
        </w:rPr>
        <w:t xml:space="preserve">(zał. nr 2 do procedury) </w:t>
      </w:r>
      <w:r w:rsidRPr="00ED4EFC">
        <w:rPr>
          <w:rFonts w:ascii="Arial" w:eastAsia="Calibri" w:hAnsi="Arial" w:cs="Arial"/>
        </w:rPr>
        <w:t>osób uprawnionych do przeprowadzenia weryfikacji formalnej wniosków oraz członków Rady, pozwalający na identyfikację charakteru powiązań z</w:t>
      </w:r>
      <w:r w:rsidR="00EF7103">
        <w:rPr>
          <w:rFonts w:ascii="Arial" w:eastAsia="Calibri" w:hAnsi="Arial" w:cs="Arial"/>
        </w:rPr>
        <w:t> </w:t>
      </w:r>
      <w:proofErr w:type="spellStart"/>
      <w:r w:rsidRPr="00ED4EFC">
        <w:rPr>
          <w:rFonts w:ascii="Arial" w:eastAsia="Calibri" w:hAnsi="Arial" w:cs="Arial"/>
        </w:rPr>
        <w:t>grantobiorcami</w:t>
      </w:r>
      <w:proofErr w:type="spellEnd"/>
      <w:r w:rsidRPr="00ED4EFC">
        <w:rPr>
          <w:rFonts w:ascii="Arial" w:eastAsia="Calibri" w:hAnsi="Arial" w:cs="Arial"/>
        </w:rPr>
        <w:t>/poszczególnymi zadaniami. Osoby uprawnione do przeprowadzenia weryfikacji formalnej wniosków oraz Członkowie Rady podpisują deklarację poufności i bezstronności (na wzorze określonym w Regulaminie Rady LGD). W przypadku kiedy członek Rady potwierdzi w Rejestrze konfliktów interesów, że dane podane w Rejestrze interesów uległy zmianie jest zobowiązany do aktualizacji tego rejestru.</w:t>
      </w:r>
    </w:p>
    <w:p w14:paraId="6CFB2DDE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Po rejestracji wniosków w </w:t>
      </w:r>
      <w:r w:rsidRPr="00ED4EFC">
        <w:rPr>
          <w:rFonts w:ascii="Arial" w:eastAsia="Calibri" w:hAnsi="Arial" w:cs="Arial"/>
          <w:i/>
        </w:rPr>
        <w:t>Rejestrze wniosków</w:t>
      </w:r>
      <w:r w:rsidRPr="00ED4EFC">
        <w:rPr>
          <w:rFonts w:ascii="Arial" w:eastAsia="Calibri" w:hAnsi="Arial" w:cs="Arial"/>
        </w:rPr>
        <w:t xml:space="preserve"> Zarząd LGD przekazuje Radzie </w:t>
      </w:r>
      <w:r w:rsidRPr="00ED4EFC">
        <w:rPr>
          <w:rFonts w:ascii="Arial" w:eastAsia="Calibri" w:hAnsi="Arial" w:cs="Arial"/>
          <w:i/>
        </w:rPr>
        <w:t>Rejestr wniosków</w:t>
      </w:r>
      <w:r w:rsidRPr="00ED4EFC">
        <w:rPr>
          <w:rFonts w:ascii="Arial" w:eastAsia="Calibri" w:hAnsi="Arial" w:cs="Arial"/>
        </w:rPr>
        <w:t xml:space="preserve"> wraz z wnioskami. Przed przystąpieniem do oceny wniosków przez Radę, Rada zleca dokonanie weryfikacji formalnej wniosków osobom uprawnionym, którymi są pracownicy biura w zakresie czy:</w:t>
      </w:r>
    </w:p>
    <w:p w14:paraId="7B1B8EDD" w14:textId="77777777" w:rsidR="00E72513" w:rsidRPr="00ED4EFC" w:rsidRDefault="00E72513" w:rsidP="00E72513">
      <w:pPr>
        <w:numPr>
          <w:ilvl w:val="1"/>
          <w:numId w:val="5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do wniosku załączono wszystkie wymagane załączniki;</w:t>
      </w:r>
    </w:p>
    <w:p w14:paraId="6B449FCE" w14:textId="77777777" w:rsidR="00E72513" w:rsidRPr="00ED4EFC" w:rsidRDefault="00E72513" w:rsidP="00E72513">
      <w:pPr>
        <w:numPr>
          <w:ilvl w:val="1"/>
          <w:numId w:val="5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wniosek ma prawidłowo wypełnione wszystkie pola;</w:t>
      </w:r>
    </w:p>
    <w:p w14:paraId="42B394DA" w14:textId="77777777" w:rsidR="00E72513" w:rsidRPr="00ED4EFC" w:rsidRDefault="00E72513" w:rsidP="00E72513">
      <w:pPr>
        <w:numPr>
          <w:ilvl w:val="1"/>
          <w:numId w:val="5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podane zostały wszystkie informacje niezbędne do oceny wniosku;</w:t>
      </w:r>
    </w:p>
    <w:p w14:paraId="7E624223" w14:textId="77777777" w:rsidR="00E72513" w:rsidRPr="00ED4EFC" w:rsidRDefault="00E72513" w:rsidP="00E7251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- w przypadku kiedy osobą uprawnioną nie mogą być pracownicy biura, weryfikację formalną wniosków przeprowadza Rada</w:t>
      </w:r>
    </w:p>
    <w:p w14:paraId="1A903BD8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Weryfikacja formalna wniosków dokonywana jest przez osoby uprawnione na </w:t>
      </w:r>
      <w:r w:rsidRPr="00ED4EFC">
        <w:rPr>
          <w:rFonts w:ascii="Arial" w:eastAsia="Calibri" w:hAnsi="Arial" w:cs="Arial"/>
          <w:b/>
        </w:rPr>
        <w:t xml:space="preserve">Karcie weryfikacji formalnej wniosku </w:t>
      </w:r>
      <w:r w:rsidRPr="00ED4EFC">
        <w:rPr>
          <w:rFonts w:ascii="Arial" w:eastAsia="Calibri" w:hAnsi="Arial" w:cs="Arial"/>
          <w:i/>
        </w:rPr>
        <w:t>(zał. nr 3 do procedury)</w:t>
      </w:r>
      <w:r w:rsidRPr="00ED4EFC">
        <w:rPr>
          <w:rFonts w:ascii="Arial" w:eastAsia="Calibri" w:hAnsi="Arial" w:cs="Arial"/>
        </w:rPr>
        <w:t>.</w:t>
      </w:r>
    </w:p>
    <w:p w14:paraId="2A547C27" w14:textId="02A09142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przypadku, gdy wniosek nie spełnia  któregokolwiek z warunków, zawiera braki lub oczywiste omyłki w zakresie, o którym mowa w ust. 4 pkt. 1-3 zostaje on skierowany do uzupełnienia lub poprawienia, a fakt ten odnotowuje się na</w:t>
      </w:r>
      <w:r w:rsidRPr="00ED4EFC">
        <w:rPr>
          <w:rFonts w:ascii="Arial" w:eastAsia="Calibri" w:hAnsi="Arial" w:cs="Arial"/>
          <w:i/>
        </w:rPr>
        <w:t xml:space="preserve"> Karcie weryfikacji formalnej wniosku</w:t>
      </w:r>
      <w:r w:rsidRPr="00ED4EFC">
        <w:rPr>
          <w:rFonts w:ascii="Arial" w:eastAsia="Calibri" w:hAnsi="Arial" w:cs="Arial"/>
        </w:rPr>
        <w:t>, z podaniem uzasadnienia. Usunięcie braków lub poprawienie oczywistych omyłek nie może prowadzić do istotnej modyfikacji wniosku. Procedura przewiduje możliwość jednokrotnego wezwania grantobiorcy do uzupełnień na etapie weryfikacji formalnej na zasadach określonych w ust. 7.</w:t>
      </w:r>
    </w:p>
    <w:p w14:paraId="062B9DDE" w14:textId="18D5D10E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Osoba uprawniona do przeprowadzenia weryfikacji formalnej wniosku przygotowuje wezwanie do wprowadzenia we wniosku o powierzenie grantu poprawek lub uzupełnień. Uzupełnień grantobiorca dokonuje w terminie nie dłuższym niż 7 dni od dnia doręczenia pisma. Wezwanie to jest przekazane listem poleconym za zwrotnym potwierdzeniem odbioru, lub w inny skuteczny sposób i uważa się za skutecznie doręczone w dniu, kiedy grantobiorca potwierdził jego odbiór. Wezwanie to zawiera w szczególności wskazanie zakresu poprawek lub uzupełnień.</w:t>
      </w:r>
    </w:p>
    <w:p w14:paraId="5253FBE1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 xml:space="preserve">Jeżeli wniosek nie spełnia warunków, o których mowa w ust. 4 pkt 1-3 (z uwzględnieniem uzupełnień w tym zakresie) fakt ten odnotowuje się na </w:t>
      </w:r>
      <w:r w:rsidRPr="00ED4EFC">
        <w:rPr>
          <w:rFonts w:ascii="Arial" w:eastAsia="Calibri" w:hAnsi="Arial" w:cs="Arial"/>
          <w:i/>
        </w:rPr>
        <w:t>Karcie weryfikacji formalnej wniosku część III</w:t>
      </w:r>
      <w:r w:rsidRPr="00ED4EFC">
        <w:rPr>
          <w:rFonts w:ascii="Arial" w:eastAsia="Calibri" w:hAnsi="Arial" w:cs="Arial"/>
        </w:rPr>
        <w:t>, z podaniem uzasadnienia.</w:t>
      </w:r>
    </w:p>
    <w:p w14:paraId="7AF2C359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Po weryfikacji formalnej wniosków, Zarząd LGD przekazuje wnioski wraz z </w:t>
      </w:r>
      <w:r w:rsidRPr="00ED4EFC">
        <w:rPr>
          <w:rFonts w:ascii="Arial" w:eastAsia="Calibri" w:hAnsi="Arial" w:cs="Arial"/>
          <w:i/>
        </w:rPr>
        <w:t>Kartami weryfikacji formalnej wniosku</w:t>
      </w:r>
      <w:r w:rsidRPr="00ED4EFC">
        <w:rPr>
          <w:rFonts w:ascii="Arial" w:eastAsia="Calibri" w:hAnsi="Arial" w:cs="Arial"/>
        </w:rPr>
        <w:t xml:space="preserve"> oraz dokumentacją uzupełnień Radzie LGD.</w:t>
      </w:r>
    </w:p>
    <w:p w14:paraId="4E3D1AA7" w14:textId="34A7B254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Rada dokonuje oceny zgodności zadań z warunkami udzielenia grantów określonymi w art. 21 ust. 1 pkt 1 ustawy RLKS uwzględniając uzupełnienia poprzez wypełnienie </w:t>
      </w:r>
      <w:r w:rsidRPr="00ED4EFC">
        <w:rPr>
          <w:rFonts w:ascii="Arial" w:eastAsia="Calibri" w:hAnsi="Arial" w:cs="Arial"/>
          <w:b/>
        </w:rPr>
        <w:t>Karty oceny zgodności z LSR w tym z programem</w:t>
      </w:r>
      <w:r w:rsidRPr="00ED4EFC">
        <w:rPr>
          <w:rFonts w:ascii="Arial" w:eastAsia="Calibri" w:hAnsi="Arial" w:cs="Arial"/>
        </w:rPr>
        <w:t xml:space="preserve"> </w:t>
      </w:r>
      <w:r w:rsidRPr="00ED4EFC">
        <w:rPr>
          <w:rFonts w:ascii="Arial" w:eastAsia="Calibri" w:hAnsi="Arial" w:cs="Arial"/>
          <w:i/>
        </w:rPr>
        <w:t xml:space="preserve">(zał. nr 4 do procedury, zał. nr 5 uzupełniany jest w przypadku wezwania </w:t>
      </w:r>
      <w:r w:rsidRPr="00ED4EFC">
        <w:rPr>
          <w:rFonts w:ascii="Arial" w:eastAsia="Calibri" w:hAnsi="Arial" w:cs="Arial"/>
          <w:i/>
          <w:iCs/>
        </w:rPr>
        <w:t>grantobiorcy</w:t>
      </w:r>
      <w:r w:rsidRPr="00ED4EFC">
        <w:rPr>
          <w:rFonts w:ascii="Arial" w:eastAsia="Calibri" w:hAnsi="Arial" w:cs="Arial"/>
          <w:i/>
        </w:rPr>
        <w:t xml:space="preserve"> do złożenia uzupełnień/wyjaśnień).</w:t>
      </w:r>
      <w:r w:rsidRPr="00ED4EFC">
        <w:rPr>
          <w:rFonts w:ascii="Arial" w:eastAsia="Calibri" w:hAnsi="Arial" w:cs="Arial"/>
        </w:rPr>
        <w:t xml:space="preserve"> Jeżeli w trakcie oceny wniosku jest konieczne uzyskanie wyjaśnień lub dokumentów niezbędnych do oceny wniosku, wyboru grantobiorcy lub ustalenia kwoty grantu, LGD wzywa </w:t>
      </w:r>
      <w:proofErr w:type="spellStart"/>
      <w:r w:rsidRPr="00ED4EFC">
        <w:rPr>
          <w:rFonts w:ascii="Arial" w:eastAsia="Calibri" w:hAnsi="Arial" w:cs="Arial"/>
        </w:rPr>
        <w:t>grantobiorcę</w:t>
      </w:r>
      <w:proofErr w:type="spellEnd"/>
      <w:r w:rsidRPr="00ED4EFC">
        <w:rPr>
          <w:rFonts w:ascii="Arial" w:eastAsia="Calibri" w:hAnsi="Arial" w:cs="Arial"/>
        </w:rPr>
        <w:t xml:space="preserve"> do złożenia tych wyjaśnień lub dokumentów. W przypadku innych szczegółowych warunków określonych w regulaminie naboru, weryfikacja zostanie przeprowadzona na podstawie dodatkowej karty weryfikacji </w:t>
      </w:r>
      <w:r w:rsidRPr="00ED4EFC">
        <w:rPr>
          <w:rFonts w:ascii="Arial" w:eastAsia="Calibri" w:hAnsi="Arial" w:cs="Arial"/>
          <w:i/>
        </w:rPr>
        <w:t>(tworzonej osobno dla konkretnego naboru)</w:t>
      </w:r>
      <w:r w:rsidRPr="00ED4EFC">
        <w:rPr>
          <w:rFonts w:ascii="Arial" w:eastAsia="Calibri" w:hAnsi="Arial" w:cs="Arial"/>
        </w:rPr>
        <w:t>, która będzie załącznikiem do Regulaminu naboru.</w:t>
      </w:r>
    </w:p>
    <w:p w14:paraId="1934531C" w14:textId="317787A8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Na podstawie wyników oceny zgodności zadań z warunkami udzielenia grantów określonymi w</w:t>
      </w:r>
      <w:r w:rsidR="00EF7103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 xml:space="preserve">art. 21 ust. 1 pkt 1 ustawy RLKS, wnioski, które są zgodne z warunkami udzielenia grantów określonymi w art. 21 ust. 1 pkt 1 ustawy RLKS umieszcza się na </w:t>
      </w:r>
      <w:r w:rsidRPr="00ED4EFC">
        <w:rPr>
          <w:rFonts w:ascii="Arial" w:eastAsia="Calibri" w:hAnsi="Arial" w:cs="Arial"/>
          <w:i/>
        </w:rPr>
        <w:t>liście wniosków</w:t>
      </w:r>
      <w:r w:rsidRPr="00ED4EFC">
        <w:rPr>
          <w:rFonts w:ascii="Arial" w:eastAsia="Calibri" w:hAnsi="Arial" w:cs="Arial"/>
        </w:rPr>
        <w:t xml:space="preserve"> </w:t>
      </w:r>
      <w:r w:rsidRPr="00ED4EFC">
        <w:rPr>
          <w:rFonts w:ascii="Arial" w:eastAsia="Calibri" w:hAnsi="Arial" w:cs="Arial"/>
          <w:i/>
        </w:rPr>
        <w:t>zgodnych LSR w tym z programem</w:t>
      </w:r>
      <w:r w:rsidRPr="00ED4EFC">
        <w:rPr>
          <w:rFonts w:ascii="Arial" w:eastAsia="Calibri" w:hAnsi="Arial" w:cs="Arial"/>
        </w:rPr>
        <w:t xml:space="preserve">. W stosunku do każdego wniosku który jest niezgodny z warunkami udzielenia grantów określonymi w art. 21 ust. 1 pkt 1 ustawy RLKS podejmuje się uchwałę o niedokonaniu wyboru wraz z uzasadnieniem. Wnioski te umieszcza się na </w:t>
      </w:r>
      <w:r w:rsidRPr="00ED4EFC">
        <w:rPr>
          <w:rFonts w:ascii="Arial" w:eastAsia="Calibri" w:hAnsi="Arial" w:cs="Arial"/>
          <w:i/>
        </w:rPr>
        <w:t>liście wniosków niezgodnych z LSR w tym z programem</w:t>
      </w:r>
      <w:r w:rsidRPr="00ED4EFC">
        <w:rPr>
          <w:rFonts w:ascii="Arial" w:eastAsia="Calibri" w:hAnsi="Arial" w:cs="Arial"/>
        </w:rPr>
        <w:t>.</w:t>
      </w:r>
      <w:bookmarkStart w:id="6" w:name="_heading=h.3znysh7" w:colFirst="0" w:colLast="0"/>
      <w:bookmarkEnd w:id="6"/>
    </w:p>
    <w:p w14:paraId="076515DE" w14:textId="207AECA2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Wnioski umieszczone na liście zgodnych z LSR w tym z programem poddaje się ocenie według lokalnych kryteriów wyboru na </w:t>
      </w:r>
      <w:r w:rsidRPr="00ED4EFC">
        <w:rPr>
          <w:rFonts w:ascii="Arial" w:eastAsia="Calibri" w:hAnsi="Arial" w:cs="Arial"/>
          <w:b/>
        </w:rPr>
        <w:t>Karcie oceny wg lokalnych kryteriów wyboru “Lokalnej Grupy Działania - Lider Dolina Strugu”</w:t>
      </w:r>
      <w:r w:rsidRPr="00ED4EFC">
        <w:rPr>
          <w:rFonts w:ascii="Arial" w:eastAsia="Calibri" w:hAnsi="Arial" w:cs="Arial"/>
        </w:rPr>
        <w:t xml:space="preserve"> </w:t>
      </w:r>
      <w:r w:rsidRPr="00ED4EFC">
        <w:rPr>
          <w:rFonts w:ascii="Arial" w:eastAsia="Calibri" w:hAnsi="Arial" w:cs="Arial"/>
          <w:i/>
        </w:rPr>
        <w:t>(zał. nr 6 do procedury)</w:t>
      </w:r>
      <w:r w:rsidRPr="00ED4EFC">
        <w:rPr>
          <w:rFonts w:ascii="Arial" w:eastAsia="Calibri" w:hAnsi="Arial" w:cs="Arial"/>
        </w:rPr>
        <w:t>. Wynik głosowania w sprawie oceny zadania według lokalnych kryteriów oblicza się, sumując oceny punktowe wyrażone w</w:t>
      </w:r>
      <w:r w:rsidR="0019468D" w:rsidRPr="00ED4EFC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poszczególnych kryteriach na Karcie Oceny w pozycji „Suma punktów”. Sposób głosowania określa par. 17 Regulaminu Rady LGD.</w:t>
      </w:r>
    </w:p>
    <w:p w14:paraId="4C049E12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Na podstawie wyników oceny wg lokalnych kryteriów wyboru w stosunku do każdego wniosku, który nie uzyskał wymaganej minimalnej liczby punktów podejmuje się uchwałę o niedokonaniu wyboru wraz z uzasadnieniem oraz sporządza się listę wniosków, które nie uzyskały wymaganej minimalnej liczby punktów.</w:t>
      </w:r>
    </w:p>
    <w:p w14:paraId="6830E9C2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Dla poszczególnych wniosków, które uzyskały wymaganą minimalna liczbę punktów w wyniku oceny według lokalnych kryteriów wyboru, Rada dokonuje ustalania kwoty grantu.</w:t>
      </w:r>
    </w:p>
    <w:p w14:paraId="3784B3C9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Ustalenie kwoty grantu na realizację zadania, odbywa się poprzez sprawdzenie czy:</w:t>
      </w:r>
    </w:p>
    <w:p w14:paraId="78F1E69B" w14:textId="77777777" w:rsidR="00E72513" w:rsidRPr="00ED4EFC" w:rsidRDefault="00E72513" w:rsidP="00E72513">
      <w:pPr>
        <w:numPr>
          <w:ilvl w:val="2"/>
          <w:numId w:val="6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prawidłowo zastosowano wskazaną w regulaminie lub w SZOP intensywność pomocy określoną dla grantobiorców;</w:t>
      </w:r>
    </w:p>
    <w:p w14:paraId="7328B82C" w14:textId="77777777" w:rsidR="00E72513" w:rsidRPr="00ED4EFC" w:rsidRDefault="00E72513" w:rsidP="00E72513">
      <w:pPr>
        <w:numPr>
          <w:ilvl w:val="2"/>
          <w:numId w:val="6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prawidłowo zastosowano wskazaną w LSR lub w regulaminie naboru wniosków o powierzenie grantów maksymalną kwotę grantu dla danego zadania;</w:t>
      </w:r>
    </w:p>
    <w:p w14:paraId="7C2E7787" w14:textId="77777777" w:rsidR="00E72513" w:rsidRPr="00ED4EFC" w:rsidRDefault="00E72513" w:rsidP="00E72513">
      <w:pPr>
        <w:numPr>
          <w:ilvl w:val="2"/>
          <w:numId w:val="6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koszty kwalifikowane określone we wniosku o powierzenie grantów są zgodne z zakresem kosztów kwalifikowanych określonych w Wytycznych dotyczących kwalifikowalności wydatków na lata 2021 – 2027.</w:t>
      </w:r>
    </w:p>
    <w:p w14:paraId="1DAC6683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przypadku, gdy kwota grantu określona we wniosku przez podmiot ubiegający się o powierzenie grantu będzie przekraczać:</w:t>
      </w:r>
    </w:p>
    <w:p w14:paraId="79E57BCA" w14:textId="77777777" w:rsidR="00E72513" w:rsidRPr="00ED4EFC" w:rsidRDefault="00E72513" w:rsidP="00E72513">
      <w:pPr>
        <w:numPr>
          <w:ilvl w:val="3"/>
          <w:numId w:val="7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intensywność pomocy wskazaną w regulaminie lub w SZOP, lub</w:t>
      </w:r>
    </w:p>
    <w:p w14:paraId="73CAEA2B" w14:textId="77777777" w:rsidR="00E72513" w:rsidRPr="00ED4EFC" w:rsidRDefault="00E72513" w:rsidP="00E72513">
      <w:pPr>
        <w:numPr>
          <w:ilvl w:val="3"/>
          <w:numId w:val="7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kwotę grantu ustaloną przez LGD na zadanie, lub </w:t>
      </w:r>
    </w:p>
    <w:p w14:paraId="4A866224" w14:textId="77777777" w:rsidR="00E72513" w:rsidRPr="00ED4EFC" w:rsidRDefault="00E72513" w:rsidP="00E72513">
      <w:pPr>
        <w:numPr>
          <w:ilvl w:val="3"/>
          <w:numId w:val="7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dostępne dla grantobiorcy limity pomocy.</w:t>
      </w:r>
    </w:p>
    <w:p w14:paraId="206FD5EC" w14:textId="77777777" w:rsidR="00E72513" w:rsidRPr="00ED4EFC" w:rsidRDefault="00E72513" w:rsidP="00E72513">
      <w:pPr>
        <w:numPr>
          <w:ilvl w:val="0"/>
          <w:numId w:val="3"/>
        </w:numPr>
        <w:spacing w:after="0" w:line="276" w:lineRule="auto"/>
        <w:ind w:leftChars="-1" w:left="0" w:hangingChars="1" w:hanging="2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Rada dokonuje ustalenia kwoty grantu przez odpowiednie zmniejszenie kwoty pomocy. </w:t>
      </w:r>
    </w:p>
    <w:p w14:paraId="7D6E8636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 xml:space="preserve">W przypadku stwierdzenia przez Radę </w:t>
      </w:r>
      <w:proofErr w:type="spellStart"/>
      <w:r w:rsidRPr="00ED4EFC">
        <w:rPr>
          <w:rFonts w:ascii="Arial" w:eastAsia="Calibri" w:hAnsi="Arial" w:cs="Arial"/>
        </w:rPr>
        <w:t>niekwalifikowalności</w:t>
      </w:r>
      <w:proofErr w:type="spellEnd"/>
      <w:r w:rsidRPr="00ED4EFC">
        <w:rPr>
          <w:rFonts w:ascii="Arial" w:eastAsia="Calibri" w:hAnsi="Arial" w:cs="Arial"/>
        </w:rPr>
        <w:t xml:space="preserve"> danego kosztu lub braku uzasadnienia dla kosztu w związku z zakresem zadań, kwota grantu ulega odpowiedniemu zmniejszeniu.</w:t>
      </w:r>
    </w:p>
    <w:p w14:paraId="141FD0C3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Głosowanie w sprawie ustalenia kwoty grantu ma charakter jawny i odbywa się poprzez podniesienie ręki przez członków Rady uprawnionych do głosowania. Wyniki głosowania ogłasza Przewodniczący posiedzenia.</w:t>
      </w:r>
    </w:p>
    <w:p w14:paraId="23988828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Czynności ustalania kwoty grantu, w tym wyniki głosowania, odnotowuje się w protokole z oceny i wyboru wniosków o powierzenie grantów.</w:t>
      </w:r>
    </w:p>
    <w:p w14:paraId="2DAC2CAA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Na podstawie wyników oceny wg lokalnych kryteriów wyboru oraz ustalonej kwoty grantu, Rada w stosunku do każdego wniosku, który uzyskał minimalną wymaganą liczbę punktów, podejmuje uchwałę w sprawie dokonania wyboru do dofinansowania oraz ustalenia kwoty grantu.</w:t>
      </w:r>
    </w:p>
    <w:p w14:paraId="413A5032" w14:textId="55A62A84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Na podstawie uchwał w sprawie dokonania wyboru wniosków do dofinansowania, Rada sporządza listę wniosków wybranych do dofinansowania wg kolejności wynikającej </w:t>
      </w:r>
      <w:r w:rsidRPr="00ED4EFC">
        <w:rPr>
          <w:rFonts w:ascii="Arial" w:eastAsia="Calibri" w:hAnsi="Arial" w:cs="Arial"/>
        </w:rPr>
        <w:br/>
        <w:t>z uzyskanej punktacji (malejąco) dla każdego zadania. W przypadku dwóch lub więcej wniosków w ramach tego samego zadania, które otrzymały tą samą liczbę punktów, o ich kolejności na liście rankingowej decydują kryteria rozstrzygające określone w lokalnych kryteriach wyboru, a</w:t>
      </w:r>
      <w:r w:rsidR="0019468D" w:rsidRPr="00ED4EFC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w przypadku braku możliwości ustalenia kolejności w oparciu o kryteria rozstrzygające, decyduje czas złożenia wniosku w biurze LGD.</w:t>
      </w:r>
    </w:p>
    <w:p w14:paraId="75237137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Wnioski o powierzenie grantów poza limitem dostępnych środków, które jednocześnie uzyskały minimalną liczbę punktów wg lokalnych kryteriów wyboru stanowią również listę rezerwową wniosków o powierzenie grantów.</w:t>
      </w:r>
    </w:p>
    <w:p w14:paraId="6BBB5020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Uchwały i listy o których mowa w procedurze muszą zawierać informacje, które pozwolą w sposób jednoznaczny zidentyfikować </w:t>
      </w:r>
      <w:proofErr w:type="spellStart"/>
      <w:r w:rsidRPr="00ED4EFC">
        <w:rPr>
          <w:rFonts w:ascii="Arial" w:eastAsia="Calibri" w:hAnsi="Arial" w:cs="Arial"/>
        </w:rPr>
        <w:t>grantobiorcę</w:t>
      </w:r>
      <w:proofErr w:type="spellEnd"/>
      <w:r w:rsidRPr="00ED4EFC">
        <w:rPr>
          <w:rFonts w:ascii="Arial" w:eastAsia="Calibri" w:hAnsi="Arial" w:cs="Arial"/>
        </w:rPr>
        <w:t xml:space="preserve"> w ramach złożonych wniosków o powierzenie grantów, w szczególności:</w:t>
      </w:r>
    </w:p>
    <w:p w14:paraId="0BFDD34A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numer zadania;</w:t>
      </w:r>
    </w:p>
    <w:p w14:paraId="239F7482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indywidualne oznaczenie sprawy nadane każdemu wnioskowi przez LGD, wpisane na wniosku o powierzenie grantu;</w:t>
      </w:r>
    </w:p>
    <w:p w14:paraId="374562AA" w14:textId="3435BD9F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nazwę/imię i nazwisko grantobiorcy;</w:t>
      </w:r>
    </w:p>
    <w:p w14:paraId="7BE6D983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tytuł zadania określony we wniosku o powierzenie grantu;</w:t>
      </w:r>
    </w:p>
    <w:p w14:paraId="62337AE9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lokalizację zadania;</w:t>
      </w:r>
    </w:p>
    <w:p w14:paraId="6BFF3474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wnioskowaną kwotę grantu;</w:t>
      </w:r>
    </w:p>
    <w:p w14:paraId="388C30FD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wynik spełnienia wymagań formalnych, wynik oceny z warunkami udzielania grantów oraz liczbę punktów w ramach oceny w zakresie spełnienia przez wniosek kryteriów wyboru, wraz z uzasadnieniem oceny (uzasadnienie dotyczy tylko uchwał);</w:t>
      </w:r>
    </w:p>
    <w:p w14:paraId="754034A5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ustaloną przez Radę kwotę grantu, wraz z uzasadnieniem w przypadku innej niż wnioskowana;</w:t>
      </w:r>
    </w:p>
    <w:p w14:paraId="3B309CDF" w14:textId="77777777" w:rsidR="00E72513" w:rsidRPr="00ED4EFC" w:rsidRDefault="00E72513" w:rsidP="00E72513">
      <w:pPr>
        <w:numPr>
          <w:ilvl w:val="1"/>
          <w:numId w:val="8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informację, czy zadanie mieści się w limicie dostępnych środków wskazanych w regulaminie naboru wniosków, o którym mowa w § 2 ust. 6 procedur.</w:t>
      </w:r>
    </w:p>
    <w:p w14:paraId="52FEE576" w14:textId="0CB8431F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terminie 7 dni od dnia zakończenia wyboru wniosków o powierzenie grantów LGD przekazuje grantobiorcy ubiegającemu się o przyznanie pomocy pisemną informację listem poleconym za zwrotnym potwierdzeniem odbioru lub w inny skuteczny sposób o:</w:t>
      </w:r>
    </w:p>
    <w:p w14:paraId="17B5C087" w14:textId="77777777" w:rsidR="00E72513" w:rsidRPr="00ED4EFC" w:rsidRDefault="00E72513" w:rsidP="00E72513">
      <w:pPr>
        <w:numPr>
          <w:ilvl w:val="1"/>
          <w:numId w:val="9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wyniku spełnienia wymagań formalnych, w tym odrzuceniu wniosku, bez możliwości odwołania lub uzupełnień w przypadku nie spełnienia warunków formalnych wraz z uzasadnieniem;</w:t>
      </w:r>
    </w:p>
    <w:p w14:paraId="32A7BAA9" w14:textId="77777777" w:rsidR="00E72513" w:rsidRPr="00ED4EFC" w:rsidRDefault="00E72513" w:rsidP="00E72513">
      <w:pPr>
        <w:numPr>
          <w:ilvl w:val="1"/>
          <w:numId w:val="9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wyniku zgodności z warunkami udzielania grantów albo niezgodności z warunkami udzielania grantów </w:t>
      </w:r>
      <w:r w:rsidRPr="00ED4EFC">
        <w:rPr>
          <w:rFonts w:ascii="Arial" w:eastAsia="Calibri" w:hAnsi="Arial" w:cs="Arial"/>
          <w:b/>
        </w:rPr>
        <w:t xml:space="preserve">- </w:t>
      </w:r>
      <w:r w:rsidRPr="00ED4EFC">
        <w:rPr>
          <w:rFonts w:ascii="Arial" w:eastAsia="Calibri" w:hAnsi="Arial" w:cs="Arial"/>
        </w:rPr>
        <w:t>wskazując przyczyny niezgodności;</w:t>
      </w:r>
    </w:p>
    <w:p w14:paraId="67B0A109" w14:textId="77777777" w:rsidR="00E72513" w:rsidRPr="00ED4EFC" w:rsidRDefault="00E72513" w:rsidP="00E72513">
      <w:pPr>
        <w:numPr>
          <w:ilvl w:val="1"/>
          <w:numId w:val="9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>wyniku oceny w zakresie spełniania lokalnych kryteriów wyboru, z podaniem liczby punktów oraz czy spełnione zostały minimalne wymagania niezbędne do wyboru wniosku do dofinansowania przez LGD wraz z uzasadnieniem oceny;</w:t>
      </w:r>
    </w:p>
    <w:p w14:paraId="7E1EC695" w14:textId="77777777" w:rsidR="00E72513" w:rsidRPr="00ED4EFC" w:rsidRDefault="00E72513" w:rsidP="00E72513">
      <w:pPr>
        <w:numPr>
          <w:ilvl w:val="1"/>
          <w:numId w:val="9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wyniku wyboru zawierającego dodatkowo wskazanie, czy wniosek mieści się w limicie środków wskazanym w ogłoszeniu o naborze;</w:t>
      </w:r>
    </w:p>
    <w:p w14:paraId="7DB54D0B" w14:textId="77777777" w:rsidR="00E72513" w:rsidRPr="00ED4EFC" w:rsidRDefault="00E72513" w:rsidP="00E72513">
      <w:pPr>
        <w:numPr>
          <w:ilvl w:val="1"/>
          <w:numId w:val="9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ustalonej kwocie grantu wraz z uzasadnieniem w przypadku niższej niż wnioskowana.</w:t>
      </w:r>
    </w:p>
    <w:p w14:paraId="2F599635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sytuacji:</w:t>
      </w:r>
    </w:p>
    <w:p w14:paraId="1AE448CC" w14:textId="77777777" w:rsidR="00E72513" w:rsidRPr="00ED4EFC" w:rsidRDefault="00E72513" w:rsidP="00E72513">
      <w:pPr>
        <w:numPr>
          <w:ilvl w:val="1"/>
          <w:numId w:val="10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negatywnej oceny zgodności z warunkami udzielania grantów albo</w:t>
      </w:r>
    </w:p>
    <w:p w14:paraId="42C96FE8" w14:textId="77777777" w:rsidR="00E72513" w:rsidRPr="00ED4EFC" w:rsidRDefault="00E72513" w:rsidP="00E72513">
      <w:pPr>
        <w:numPr>
          <w:ilvl w:val="1"/>
          <w:numId w:val="10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nieuzyskania minimalnej liczby punktów, o której mowa w regulaminie albo</w:t>
      </w:r>
    </w:p>
    <w:p w14:paraId="44D70128" w14:textId="77777777" w:rsidR="00E72513" w:rsidRPr="00ED4EFC" w:rsidRDefault="00E72513" w:rsidP="00E72513">
      <w:pPr>
        <w:numPr>
          <w:ilvl w:val="1"/>
          <w:numId w:val="10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wyniku wyboru, który powoduje, że wniosek nie mieści się w limicie środków wskazanym w regulaminie o naborze wniosków o udzielenie grantów na realizację zadania na które składany jest wniosek,</w:t>
      </w:r>
    </w:p>
    <w:p w14:paraId="07542843" w14:textId="77777777" w:rsidR="00E72513" w:rsidRPr="00ED4EFC" w:rsidRDefault="00E72513" w:rsidP="00E72513">
      <w:pPr>
        <w:numPr>
          <w:ilvl w:val="1"/>
          <w:numId w:val="10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ustalenia przez LGD kwoty grantu niższej niż wnioskowana.</w:t>
      </w:r>
    </w:p>
    <w:p w14:paraId="429945D1" w14:textId="13F3C53F" w:rsidR="00E72513" w:rsidRPr="00ED4EFC" w:rsidRDefault="00E72513" w:rsidP="00E72513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- informacja, o której mowa w ust. 24, zawiera również pouczenie o możliwości wniesienia przez </w:t>
      </w:r>
      <w:proofErr w:type="spellStart"/>
      <w:r w:rsidRPr="00ED4EFC">
        <w:rPr>
          <w:rFonts w:ascii="Arial" w:eastAsia="Calibri" w:hAnsi="Arial" w:cs="Arial"/>
        </w:rPr>
        <w:t>grantobiorcę</w:t>
      </w:r>
      <w:proofErr w:type="spellEnd"/>
      <w:r w:rsidRPr="00ED4EFC">
        <w:rPr>
          <w:rFonts w:ascii="Arial" w:eastAsia="Calibri" w:hAnsi="Arial" w:cs="Arial"/>
        </w:rPr>
        <w:t xml:space="preserve"> odwołania.</w:t>
      </w:r>
    </w:p>
    <w:p w14:paraId="0D18349A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Pouczenie o możliwości wniesienia odwołania określa:</w:t>
      </w:r>
    </w:p>
    <w:p w14:paraId="74A6AAF8" w14:textId="77777777" w:rsidR="00E72513" w:rsidRPr="00ED4EFC" w:rsidRDefault="00E72513" w:rsidP="00E72513">
      <w:pPr>
        <w:numPr>
          <w:ilvl w:val="1"/>
          <w:numId w:val="11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termin do wniesienia odwołania;</w:t>
      </w:r>
    </w:p>
    <w:p w14:paraId="38F9E0AF" w14:textId="77777777" w:rsidR="00E72513" w:rsidRPr="00ED4EFC" w:rsidRDefault="00E72513" w:rsidP="00E72513">
      <w:pPr>
        <w:numPr>
          <w:ilvl w:val="1"/>
          <w:numId w:val="11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instytucję, do której należy wnieść odwołanie;</w:t>
      </w:r>
    </w:p>
    <w:p w14:paraId="652D6553" w14:textId="77777777" w:rsidR="00E72513" w:rsidRPr="00ED4EFC" w:rsidRDefault="00E72513" w:rsidP="00E72513">
      <w:pPr>
        <w:numPr>
          <w:ilvl w:val="1"/>
          <w:numId w:val="11"/>
        </w:numPr>
        <w:spacing w:after="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wymogi formalne odwołania.</w:t>
      </w:r>
    </w:p>
    <w:p w14:paraId="1995137F" w14:textId="6E09DD92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bookmarkStart w:id="7" w:name="_heading=h.2et92p0" w:colFirst="0" w:colLast="0"/>
      <w:bookmarkEnd w:id="7"/>
      <w:r w:rsidRPr="00ED4EFC">
        <w:rPr>
          <w:rFonts w:ascii="Arial" w:eastAsia="Calibri" w:hAnsi="Arial" w:cs="Arial"/>
        </w:rPr>
        <w:t>Jeżeli w wyniku dokonanej oceny wniosków o powierzenie grantów, żaden z grantobiorców nie wniesie odwołania w terminie wskazanym w pouczeniu, LGD w terminie 7 dni od następnego dnia w którym upłynął termin składania odwołania dla grantobiorcy, który najpóźniej otrzymał powiadomienie, zamieszcza na swojej stronie internetowej listę wniosków zgodnych z</w:t>
      </w:r>
      <w:r w:rsidR="00EF7103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warunkami udzielania grantów określonymi w art. 21 ust. 1 pkt 1 ustawy RLKS oraz listę wybranych wniosków, ze wskazaniem, które mieszczą się w limicie środków wskazanych w</w:t>
      </w:r>
      <w:r w:rsidR="00EF7103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>ogłoszeniu o naborze wniosków o powierzenie grantów. Ponadto zamieszcza protokół z</w:t>
      </w:r>
      <w:r w:rsidR="00EF7103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 xml:space="preserve">posiedzenia Rady, dotyczącego oceny i wyboru wniosków o powierzenie grantów, zawierający informację o </w:t>
      </w:r>
      <w:proofErr w:type="spellStart"/>
      <w:r w:rsidRPr="00ED4EFC">
        <w:rPr>
          <w:rFonts w:ascii="Arial" w:eastAsia="Calibri" w:hAnsi="Arial" w:cs="Arial"/>
        </w:rPr>
        <w:t>wyłączeniach</w:t>
      </w:r>
      <w:proofErr w:type="spellEnd"/>
      <w:r w:rsidRPr="00ED4EFC">
        <w:rPr>
          <w:rFonts w:ascii="Arial" w:eastAsia="Calibri" w:hAnsi="Arial" w:cs="Arial"/>
        </w:rPr>
        <w:t xml:space="preserve"> w związku z potencjalnym konfliktem interesów. Po podpisaniu umów, zamieszcza listę grantobiorców którym udzielono grantów.</w:t>
      </w:r>
    </w:p>
    <w:p w14:paraId="0719A9A9" w14:textId="77777777" w:rsidR="00E72513" w:rsidRPr="00ED4EFC" w:rsidRDefault="00E72513" w:rsidP="00E72513">
      <w:pPr>
        <w:numPr>
          <w:ilvl w:val="0"/>
          <w:numId w:val="4"/>
        </w:numPr>
        <w:spacing w:after="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Jeżeli w wyniku dokonanej oceny wniosków o powierzenie grantów wpłynie do LGD odwołanie zastosowanie mają odpowiednie zapisy regulaminu.</w:t>
      </w:r>
    </w:p>
    <w:p w14:paraId="7E8E668C" w14:textId="77777777" w:rsidR="00E72513" w:rsidRPr="00ED4EFC" w:rsidRDefault="00E72513" w:rsidP="00E72513">
      <w:pPr>
        <w:spacing w:after="0" w:line="276" w:lineRule="auto"/>
        <w:contextualSpacing/>
        <w:jc w:val="both"/>
        <w:rPr>
          <w:rFonts w:ascii="Arial" w:eastAsia="Calibri" w:hAnsi="Arial" w:cs="Arial"/>
          <w:lang w:val="x-none"/>
        </w:rPr>
      </w:pPr>
    </w:p>
    <w:p w14:paraId="380104DE" w14:textId="77777777" w:rsidR="00E72513" w:rsidRPr="00ED4EFC" w:rsidRDefault="00E72513" w:rsidP="00E72513">
      <w:pPr>
        <w:spacing w:after="0" w:line="276" w:lineRule="auto"/>
        <w:contextualSpacing/>
        <w:jc w:val="both"/>
        <w:rPr>
          <w:rFonts w:ascii="Arial" w:eastAsia="Calibri" w:hAnsi="Arial" w:cs="Arial"/>
          <w:lang w:val="x-none"/>
        </w:rPr>
      </w:pPr>
    </w:p>
    <w:p w14:paraId="1A2483CE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bookmarkStart w:id="8" w:name="_Toc182303971"/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§ 4</w:t>
      </w:r>
    </w:p>
    <w:p w14:paraId="05E1306F" w14:textId="77777777" w:rsidR="00E72513" w:rsidRPr="00ED4EFC" w:rsidRDefault="00E72513" w:rsidP="00E72513">
      <w:pPr>
        <w:keepNext/>
        <w:widowControl w:val="0"/>
        <w:suppressAutoHyphens/>
        <w:spacing w:after="0" w:line="276" w:lineRule="auto"/>
        <w:ind w:left="432" w:hanging="432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</w:pPr>
      <w:r w:rsidRPr="00ED4EFC">
        <w:rPr>
          <w:rFonts w:ascii="Arial" w:eastAsia="Times New Roman" w:hAnsi="Arial" w:cs="Times New Roman"/>
          <w:b/>
          <w:bCs/>
          <w:sz w:val="24"/>
          <w:szCs w:val="24"/>
          <w:lang w:val="x-none" w:eastAsia="x-none"/>
        </w:rPr>
        <w:t>Postanowienia końcowe</w:t>
      </w:r>
      <w:bookmarkEnd w:id="8"/>
    </w:p>
    <w:p w14:paraId="2B0BC773" w14:textId="77777777" w:rsidR="00E72513" w:rsidRPr="00ED4EFC" w:rsidRDefault="00E72513" w:rsidP="00E72513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7DEF584C" w14:textId="77777777" w:rsidR="00E72513" w:rsidRPr="00ED4EFC" w:rsidRDefault="00E72513" w:rsidP="00E72513">
      <w:pPr>
        <w:numPr>
          <w:ilvl w:val="3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Dokumentacja związana z naborem wniosków, oceną i wyborem grantobiorców oraz zawieraniem umów, rozliczaniem, monitoringiem i kontrolą grantobiorców przechowywana jest w biurze LGD. </w:t>
      </w:r>
    </w:p>
    <w:p w14:paraId="621B4D6C" w14:textId="7DAE4022" w:rsidR="00E72513" w:rsidRPr="00ED4EFC" w:rsidRDefault="00ED4EFC" w:rsidP="00E72513">
      <w:pPr>
        <w:numPr>
          <w:ilvl w:val="3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G</w:t>
      </w:r>
      <w:r w:rsidR="00E72513" w:rsidRPr="00ED4EFC">
        <w:rPr>
          <w:rFonts w:ascii="Arial" w:eastAsia="Calibri" w:hAnsi="Arial" w:cs="Arial"/>
        </w:rPr>
        <w:t>rantobiorca ma prawo wglądu w dokumenty związane z oceną jego wniosku o powierzenie grantu. Powyższe dokumenty udostępniane są zainteresowanemu grantobiorcy w biurze LGD najpóźniej w terminie do 5 dni roboczych  od  dnia złożenia żądania – z prawem do wykonania ich kserokopii lub fotokopii. Biuro LGD, udostępniając powyższe dokumenty, zachowuje zasadę anonimowości osób dokonujących oceny.</w:t>
      </w:r>
    </w:p>
    <w:p w14:paraId="4C762524" w14:textId="4A241D86" w:rsidR="00E72513" w:rsidRPr="00ED4EFC" w:rsidRDefault="00E72513" w:rsidP="00E72513">
      <w:pPr>
        <w:numPr>
          <w:ilvl w:val="3"/>
          <w:numId w:val="13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Niniejsza procedura podlega udostępnieniu do wiadomości publicznej także poza okresem prowadzenia przez LGD naboru, poprzez trwałe zamieszczenie jej na stronie internetowej LGD w formie pliku do pobrania. Dokument jest także dostępny w formie papierowej w biurze LGD i</w:t>
      </w:r>
      <w:r w:rsidR="0019468D" w:rsidRPr="00ED4EFC">
        <w:rPr>
          <w:rFonts w:ascii="Arial" w:eastAsia="Calibri" w:hAnsi="Arial" w:cs="Arial"/>
        </w:rPr>
        <w:t> </w:t>
      </w:r>
      <w:r w:rsidRPr="00ED4EFC">
        <w:rPr>
          <w:rFonts w:ascii="Arial" w:eastAsia="Calibri" w:hAnsi="Arial" w:cs="Arial"/>
        </w:rPr>
        <w:t xml:space="preserve">jest wydawany na żądanie osobom zainteresowanym. </w:t>
      </w:r>
    </w:p>
    <w:p w14:paraId="6B7BA80C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lastRenderedPageBreak/>
        <w:t xml:space="preserve">W trakcie całego procesu naboru wniosków oraz oceny i wyboru grantobiorców określonych w niniejszej procedurze, LGD zapewnia pełne bezpieczeństwo danych osobowych. </w:t>
      </w:r>
    </w:p>
    <w:p w14:paraId="01EAC9A0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 xml:space="preserve">Zmiana niniejszej procedury dokonywana jest uchwałą Zarządu i wymaga uzgodnienia z ZWP na zasadach określonych w Umowie o warunkach i sposobie realizacji strategii rozwoju lokalnego kierowanego przez społeczność zawartej pomiędzy ZWP a LGD. </w:t>
      </w:r>
    </w:p>
    <w:p w14:paraId="2745BCF1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Niniejsza procedura, po dokonaniu jej skutecznej zmiany, podlega niezwłocznemu zaktualizowaniu na stronie internetowej LGD.</w:t>
      </w:r>
    </w:p>
    <w:p w14:paraId="396E3DC6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Niniejsza procedura oceny i wyboru grantobiorców oraz kryteria wyboru uwzględniają zasady uczciwej konkurencji, bezstronności, efektywności, jawności, przejrzystości, i równego traktowania.</w:t>
      </w:r>
    </w:p>
    <w:p w14:paraId="5544A5B4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 sprawach nieuregulowanych w niniejszej procedurze i w Regulaminie Rady, zastosowanie znajdują odpowiednie przepisy prawa, w szczególności:</w:t>
      </w:r>
    </w:p>
    <w:p w14:paraId="4595BCE3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ustawy RLKS;</w:t>
      </w:r>
    </w:p>
    <w:p w14:paraId="1C7C29C8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ustawy wdrożeniowej;</w:t>
      </w:r>
    </w:p>
    <w:p w14:paraId="625BA4E9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ustawy o ochronie małoletnich;</w:t>
      </w:r>
    </w:p>
    <w:p w14:paraId="70D274E1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programu FEP 2021 - 2027;</w:t>
      </w:r>
    </w:p>
    <w:p w14:paraId="54DACDB4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SZOP dla FEP 2021 – 2027;</w:t>
      </w:r>
    </w:p>
    <w:p w14:paraId="691256DE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wytycznych kwalifikowalności;</w:t>
      </w:r>
    </w:p>
    <w:p w14:paraId="7F9B72BD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wytycznych monitorowania;</w:t>
      </w:r>
    </w:p>
    <w:p w14:paraId="098DB2AD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wytycznych równościowych.</w:t>
      </w:r>
    </w:p>
    <w:p w14:paraId="1C0C4D9F" w14:textId="77777777" w:rsidR="00E72513" w:rsidRPr="00ED4EFC" w:rsidRDefault="00E72513" w:rsidP="00E72513">
      <w:pPr>
        <w:numPr>
          <w:ilvl w:val="1"/>
          <w:numId w:val="1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wytycznych szczegółowych.</w:t>
      </w:r>
    </w:p>
    <w:p w14:paraId="1F0A9E23" w14:textId="77777777" w:rsidR="00E72513" w:rsidRPr="00ED4EFC" w:rsidRDefault="00E72513" w:rsidP="00E72513">
      <w:pPr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eastAsia="Calibri" w:hAnsi="Arial" w:cs="Arial"/>
        </w:rPr>
      </w:pPr>
      <w:bookmarkStart w:id="9" w:name="_heading=h.3dy6vkm" w:colFirst="0" w:colLast="0"/>
      <w:bookmarkEnd w:id="9"/>
      <w:r w:rsidRPr="00ED4EFC">
        <w:rPr>
          <w:rFonts w:ascii="Arial" w:eastAsia="Calibri" w:hAnsi="Arial" w:cs="Arial"/>
        </w:rPr>
        <w:t xml:space="preserve">Do procedury załącznikami są: </w:t>
      </w:r>
    </w:p>
    <w:p w14:paraId="7561623A" w14:textId="77777777" w:rsidR="00E72513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Rejestr interesów.</w:t>
      </w:r>
    </w:p>
    <w:p w14:paraId="34025025" w14:textId="77777777" w:rsidR="00E72513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Rejestr konfliktów interesów.</w:t>
      </w:r>
    </w:p>
    <w:p w14:paraId="57C965B2" w14:textId="77777777" w:rsidR="00E72513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Karta weryfikacji formalnej wniosku.</w:t>
      </w:r>
    </w:p>
    <w:p w14:paraId="644F37BA" w14:textId="77777777" w:rsidR="00E72513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Karta oceny zgodności z LSR w tym z programem.</w:t>
      </w:r>
    </w:p>
    <w:p w14:paraId="4E19C126" w14:textId="77777777" w:rsidR="00E72513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Karta oceny zgodności z LSR w tym z programem – weryfikacja uzupełnień.</w:t>
      </w:r>
    </w:p>
    <w:p w14:paraId="37494E25" w14:textId="5EAE3DCF" w:rsidR="00E91A67" w:rsidRPr="00ED4EFC" w:rsidRDefault="00E72513" w:rsidP="00E72513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Arial" w:eastAsia="Calibri" w:hAnsi="Arial" w:cs="Arial"/>
        </w:rPr>
      </w:pPr>
      <w:r w:rsidRPr="00ED4EFC">
        <w:rPr>
          <w:rFonts w:ascii="Arial" w:eastAsia="Calibri" w:hAnsi="Arial" w:cs="Arial"/>
        </w:rPr>
        <w:t>Karty oceny wg lokalnych kryteriów wyboru “Lokalnej Grupy Działania - Lider Dolina Strugu”.</w:t>
      </w:r>
    </w:p>
    <w:sectPr w:rsidR="00E91A67" w:rsidRPr="00ED4EFC" w:rsidSect="00E72513">
      <w:footerReference w:type="default" r:id="rId8"/>
      <w:headerReference w:type="first" r:id="rId9"/>
      <w:footerReference w:type="first" r:id="rId10"/>
      <w:pgSz w:w="11906" w:h="16838"/>
      <w:pgMar w:top="1418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4AE5" w14:textId="77777777" w:rsidR="00EF2BB2" w:rsidRDefault="00EF2BB2" w:rsidP="00E72513">
      <w:pPr>
        <w:spacing w:after="0" w:line="240" w:lineRule="auto"/>
      </w:pPr>
      <w:r>
        <w:separator/>
      </w:r>
    </w:p>
  </w:endnote>
  <w:endnote w:type="continuationSeparator" w:id="0">
    <w:p w14:paraId="623B7605" w14:textId="77777777" w:rsidR="00EF2BB2" w:rsidRDefault="00EF2BB2" w:rsidP="00E7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993415"/>
      <w:docPartObj>
        <w:docPartGallery w:val="Page Numbers (Bottom of Page)"/>
        <w:docPartUnique/>
      </w:docPartObj>
    </w:sdtPr>
    <w:sdtContent>
      <w:p w14:paraId="64F219D9" w14:textId="170E5985" w:rsidR="00E72513" w:rsidRDefault="00E72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8ED52" w14:textId="77777777" w:rsidR="00E72513" w:rsidRDefault="00E72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0C" w14:textId="096B371D" w:rsidR="00E72513" w:rsidRDefault="00E72513">
    <w:pPr>
      <w:pStyle w:val="Stopka"/>
      <w:jc w:val="right"/>
    </w:pPr>
  </w:p>
  <w:p w14:paraId="352A14FC" w14:textId="77777777" w:rsidR="00E72513" w:rsidRDefault="00E72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F00E" w14:textId="77777777" w:rsidR="00EF2BB2" w:rsidRDefault="00EF2BB2" w:rsidP="00E72513">
      <w:pPr>
        <w:spacing w:after="0" w:line="240" w:lineRule="auto"/>
      </w:pPr>
      <w:r>
        <w:separator/>
      </w:r>
    </w:p>
  </w:footnote>
  <w:footnote w:type="continuationSeparator" w:id="0">
    <w:p w14:paraId="7524B1B9" w14:textId="77777777" w:rsidR="00EF2BB2" w:rsidRDefault="00EF2BB2" w:rsidP="00E7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21879" w14:textId="0C229D96" w:rsidR="00E72513" w:rsidRDefault="00E72513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2752E8D4" wp14:editId="61EEBB2F">
          <wp:extent cx="6338332" cy="522605"/>
          <wp:effectExtent l="0" t="0" r="5715" b="0"/>
          <wp:docPr id="119927147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270" cy="522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466"/>
    <w:multiLevelType w:val="multilevel"/>
    <w:tmpl w:val="52B66676"/>
    <w:lvl w:ilvl="0">
      <w:start w:val="1"/>
      <w:numFmt w:val="decimal"/>
      <w:lvlText w:val="%1."/>
      <w:lvlJc w:val="left"/>
      <w:pPr>
        <w:ind w:left="644" w:hanging="359"/>
      </w:pPr>
      <w:rPr>
        <w:strike w:val="0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5823EBB"/>
    <w:multiLevelType w:val="multilevel"/>
    <w:tmpl w:val="B2C007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18BD4E54"/>
    <w:multiLevelType w:val="multilevel"/>
    <w:tmpl w:val="3600EC36"/>
    <w:lvl w:ilvl="0">
      <w:start w:val="1"/>
      <w:numFmt w:val="decimal"/>
      <w:lvlText w:val="%1."/>
      <w:lvlJc w:val="left"/>
      <w:pPr>
        <w:ind w:left="644" w:hanging="359"/>
      </w:pPr>
      <w:rPr>
        <w:strike w:val="0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1F2C17F1"/>
    <w:multiLevelType w:val="multilevel"/>
    <w:tmpl w:val="71DA2D4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2F952E73"/>
    <w:multiLevelType w:val="multilevel"/>
    <w:tmpl w:val="5F22F58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upperRoman"/>
      <w:lvlText w:val="%3."/>
      <w:lvlJc w:val="left"/>
      <w:pPr>
        <w:ind w:left="234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0346E22"/>
    <w:multiLevelType w:val="multilevel"/>
    <w:tmpl w:val="CC20994C"/>
    <w:lvl w:ilvl="0">
      <w:start w:val="1"/>
      <w:numFmt w:val="decimal"/>
      <w:lvlText w:val="%1)"/>
      <w:lvlJc w:val="left"/>
      <w:pPr>
        <w:ind w:left="1769" w:hanging="360"/>
      </w:pPr>
      <w:rPr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24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29" w:hanging="180"/>
      </w:pPr>
      <w:rPr>
        <w:vertAlign w:val="baseline"/>
      </w:rPr>
    </w:lvl>
  </w:abstractNum>
  <w:abstractNum w:abstractNumId="6" w15:restartNumberingAfterBreak="0">
    <w:nsid w:val="460D21E9"/>
    <w:multiLevelType w:val="multilevel"/>
    <w:tmpl w:val="EE36319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A443A17"/>
    <w:multiLevelType w:val="multilevel"/>
    <w:tmpl w:val="E5A6A1A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61F94ED3"/>
    <w:multiLevelType w:val="multilevel"/>
    <w:tmpl w:val="0DF494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2E4221E"/>
    <w:multiLevelType w:val="multilevel"/>
    <w:tmpl w:val="F4CAA264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  <w:vertAlign w:val="baseline"/>
      </w:rPr>
    </w:lvl>
    <w:lvl w:ilvl="2">
      <w:start w:val="1"/>
      <w:numFmt w:val="decimal"/>
      <w:lvlText w:val="%3)"/>
      <w:lvlJc w:val="left"/>
      <w:pPr>
        <w:ind w:left="2487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688803D0"/>
    <w:multiLevelType w:val="multilevel"/>
    <w:tmpl w:val="5B809BE0"/>
    <w:lvl w:ilvl="0">
      <w:start w:val="1"/>
      <w:numFmt w:val="decimal"/>
      <w:lvlText w:val="%1."/>
      <w:lvlJc w:val="left"/>
      <w:pPr>
        <w:ind w:left="644" w:hanging="359"/>
      </w:pPr>
      <w:rPr>
        <w:strike w:val="0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6A4A68AC"/>
    <w:multiLevelType w:val="multilevel"/>
    <w:tmpl w:val="9E861A78"/>
    <w:lvl w:ilvl="0">
      <w:start w:val="1"/>
      <w:numFmt w:val="bullet"/>
      <w:lvlText w:val="-"/>
      <w:lvlJc w:val="left"/>
      <w:pPr>
        <w:ind w:left="1571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6CBF1F12"/>
    <w:multiLevelType w:val="multilevel"/>
    <w:tmpl w:val="364EA7B8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6E5E51D0"/>
    <w:multiLevelType w:val="multilevel"/>
    <w:tmpl w:val="766C6D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74757B09"/>
    <w:multiLevelType w:val="multilevel"/>
    <w:tmpl w:val="924E4834"/>
    <w:lvl w:ilvl="0">
      <w:start w:val="1"/>
      <w:numFmt w:val="decimal"/>
      <w:lvlText w:val="%1."/>
      <w:lvlJc w:val="left"/>
      <w:pPr>
        <w:ind w:left="3338" w:hanging="360"/>
      </w:pPr>
      <w:rPr>
        <w:i w:val="0"/>
        <w:strike w:val="0"/>
        <w:vertAlign w:val="baseline"/>
      </w:rPr>
    </w:lvl>
    <w:lvl w:ilvl="1">
      <w:start w:val="1"/>
      <w:numFmt w:val="decimal"/>
      <w:lvlText w:val="%2)"/>
      <w:lvlJc w:val="left"/>
      <w:pPr>
        <w:ind w:left="4058" w:hanging="360"/>
      </w:pPr>
      <w:rPr>
        <w:color w:val="000000"/>
        <w:vertAlign w:val="baseline"/>
      </w:rPr>
    </w:lvl>
    <w:lvl w:ilvl="2">
      <w:start w:val="1"/>
      <w:numFmt w:val="lowerLetter"/>
      <w:lvlText w:val="%3)"/>
      <w:lvlJc w:val="left"/>
      <w:pPr>
        <w:ind w:left="5105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549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621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693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65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837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9098" w:hanging="360"/>
      </w:pPr>
      <w:rPr>
        <w:vertAlign w:val="baseline"/>
      </w:rPr>
    </w:lvl>
  </w:abstractNum>
  <w:num w:numId="1" w16cid:durableId="1775710281">
    <w:abstractNumId w:val="3"/>
  </w:num>
  <w:num w:numId="2" w16cid:durableId="579757114">
    <w:abstractNumId w:val="14"/>
  </w:num>
  <w:num w:numId="3" w16cid:durableId="1197498688">
    <w:abstractNumId w:val="11"/>
  </w:num>
  <w:num w:numId="4" w16cid:durableId="600649859">
    <w:abstractNumId w:val="8"/>
  </w:num>
  <w:num w:numId="5" w16cid:durableId="1358576565">
    <w:abstractNumId w:val="6"/>
  </w:num>
  <w:num w:numId="6" w16cid:durableId="386077302">
    <w:abstractNumId w:val="9"/>
  </w:num>
  <w:num w:numId="7" w16cid:durableId="2116171806">
    <w:abstractNumId w:val="7"/>
  </w:num>
  <w:num w:numId="8" w16cid:durableId="462357398">
    <w:abstractNumId w:val="2"/>
  </w:num>
  <w:num w:numId="9" w16cid:durableId="811486641">
    <w:abstractNumId w:val="10"/>
  </w:num>
  <w:num w:numId="10" w16cid:durableId="1318342844">
    <w:abstractNumId w:val="13"/>
  </w:num>
  <w:num w:numId="11" w16cid:durableId="2147308711">
    <w:abstractNumId w:val="0"/>
  </w:num>
  <w:num w:numId="12" w16cid:durableId="1499535371">
    <w:abstractNumId w:val="12"/>
  </w:num>
  <w:num w:numId="13" w16cid:durableId="167252584">
    <w:abstractNumId w:val="1"/>
  </w:num>
  <w:num w:numId="14" w16cid:durableId="1295525293">
    <w:abstractNumId w:val="5"/>
  </w:num>
  <w:num w:numId="15" w16cid:durableId="83965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13"/>
    <w:rsid w:val="0019468D"/>
    <w:rsid w:val="00333B60"/>
    <w:rsid w:val="003E4AB9"/>
    <w:rsid w:val="00414DF4"/>
    <w:rsid w:val="00475113"/>
    <w:rsid w:val="004F2E1E"/>
    <w:rsid w:val="006035F7"/>
    <w:rsid w:val="00642BF2"/>
    <w:rsid w:val="00643801"/>
    <w:rsid w:val="007D656D"/>
    <w:rsid w:val="007E4B41"/>
    <w:rsid w:val="007E6DF5"/>
    <w:rsid w:val="00871508"/>
    <w:rsid w:val="00A14B32"/>
    <w:rsid w:val="00CB20E2"/>
    <w:rsid w:val="00D75F25"/>
    <w:rsid w:val="00D9622F"/>
    <w:rsid w:val="00DA4C1D"/>
    <w:rsid w:val="00E72513"/>
    <w:rsid w:val="00E91A67"/>
    <w:rsid w:val="00ED4EFC"/>
    <w:rsid w:val="00EF2BB2"/>
    <w:rsid w:val="00EF7103"/>
    <w:rsid w:val="00F4585B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910C1"/>
  <w15:chartTrackingRefBased/>
  <w15:docId w15:val="{04777AB3-1DAE-47A1-B2BD-E36E173D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2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5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5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5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5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5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5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2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2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2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2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25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25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25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5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25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2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513"/>
  </w:style>
  <w:style w:type="paragraph" w:styleId="Stopka">
    <w:name w:val="footer"/>
    <w:basedOn w:val="Normalny"/>
    <w:link w:val="StopkaZnak"/>
    <w:uiPriority w:val="99"/>
    <w:unhideWhenUsed/>
    <w:rsid w:val="00E72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3434</Words>
  <Characters>20609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Pępek</dc:creator>
  <cp:keywords/>
  <dc:description/>
  <cp:lastModifiedBy>LGD Lider Dolina Strugu</cp:lastModifiedBy>
  <cp:revision>7</cp:revision>
  <cp:lastPrinted>2026-05-06T07:13:00Z</cp:lastPrinted>
  <dcterms:created xsi:type="dcterms:W3CDTF">2024-11-22T11:03:00Z</dcterms:created>
  <dcterms:modified xsi:type="dcterms:W3CDTF">2026-05-06T07:14:00Z</dcterms:modified>
</cp:coreProperties>
</file>