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1627AD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BA4714">
        <w:rPr>
          <w:rFonts w:cstheme="minorHAnsi"/>
        </w:rPr>
        <w:t>– Lider Dolina Strugu</w:t>
      </w:r>
      <w:r w:rsidRPr="0082279C">
        <w:rPr>
          <w:rFonts w:cstheme="minorHAnsi"/>
        </w:rPr>
        <w:t xml:space="preserve"> z siedzibą w </w:t>
      </w:r>
      <w:r w:rsidR="00BA4714">
        <w:rPr>
          <w:rFonts w:cstheme="minorHAnsi"/>
        </w:rPr>
        <w:t>Tyczynie</w:t>
      </w:r>
      <w:r w:rsidRPr="0082279C">
        <w:rPr>
          <w:rFonts w:cstheme="minorHAnsi"/>
        </w:rPr>
        <w:t xml:space="preserve">. Z Administratorem można kontaktować się poprzez adres e-mail </w:t>
      </w:r>
      <w:r w:rsidR="00BA4714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Lokalnej Grupy Działania </w:t>
      </w:r>
      <w:r w:rsidR="00BA4714">
        <w:rPr>
          <w:rFonts w:cstheme="minorHAnsi"/>
        </w:rPr>
        <w:t>ul. Kościuszki 8, 36-020 Tyczyn</w:t>
      </w:r>
      <w:r w:rsidR="00793063">
        <w:rPr>
          <w:rFonts w:cstheme="minorHAnsi"/>
        </w:rPr>
        <w:t>.</w:t>
      </w:r>
    </w:p>
    <w:p w14:paraId="38C0D6DC" w14:textId="6D3D82E8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BA4714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5AD31ED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BA4714">
        <w:rPr>
          <w:rFonts w:cstheme="minorHAnsi"/>
        </w:rPr>
        <w:t>– Lider Dolina Strugu</w:t>
      </w:r>
      <w:r w:rsidRPr="0082279C">
        <w:rPr>
          <w:rFonts w:cstheme="minorHAnsi"/>
        </w:rPr>
        <w:t xml:space="preserve"> z siedzibą w </w:t>
      </w:r>
      <w:r w:rsidR="00BA4714">
        <w:rPr>
          <w:rFonts w:cstheme="minorHAnsi"/>
        </w:rPr>
        <w:t>Tyczynie.</w:t>
      </w:r>
      <w:r w:rsidRPr="0082279C">
        <w:rPr>
          <w:rFonts w:cstheme="minorHAnsi"/>
        </w:rPr>
        <w:t xml:space="preserve"> Z Administratorem można kontaktować się poprzez adres e-mail </w:t>
      </w:r>
      <w:r w:rsidR="00BA4714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Lokalnej Grupy Działania </w:t>
      </w:r>
      <w:r w:rsidR="00BA4714">
        <w:rPr>
          <w:rFonts w:cstheme="minorHAnsi"/>
        </w:rPr>
        <w:t>ul. Kościuszki 8, 36-020 Tyczyn.</w:t>
      </w:r>
    </w:p>
    <w:p w14:paraId="7FC6CA7F" w14:textId="43F73A88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BA4714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EB30" w14:textId="77777777" w:rsidR="00F62523" w:rsidRDefault="00F62523" w:rsidP="00955832">
      <w:pPr>
        <w:spacing w:after="0" w:line="240" w:lineRule="auto"/>
      </w:pPr>
      <w:r>
        <w:separator/>
      </w:r>
    </w:p>
  </w:endnote>
  <w:endnote w:type="continuationSeparator" w:id="0">
    <w:p w14:paraId="5D9B0B4F" w14:textId="77777777" w:rsidR="00F62523" w:rsidRDefault="00F6252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6AFE" w14:textId="77777777" w:rsidR="00F62523" w:rsidRDefault="00F62523" w:rsidP="00955832">
      <w:pPr>
        <w:spacing w:after="0" w:line="240" w:lineRule="auto"/>
      </w:pPr>
      <w:r>
        <w:separator/>
      </w:r>
    </w:p>
  </w:footnote>
  <w:footnote w:type="continuationSeparator" w:id="0">
    <w:p w14:paraId="03EAF65C" w14:textId="77777777" w:rsidR="00F62523" w:rsidRDefault="00F6252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793063"/>
    <w:rsid w:val="0082279C"/>
    <w:rsid w:val="00955832"/>
    <w:rsid w:val="00973ECD"/>
    <w:rsid w:val="00AF36D3"/>
    <w:rsid w:val="00B47BC5"/>
    <w:rsid w:val="00BA4714"/>
    <w:rsid w:val="00BE68DC"/>
    <w:rsid w:val="00CB055C"/>
    <w:rsid w:val="00CC61F5"/>
    <w:rsid w:val="00D9563E"/>
    <w:rsid w:val="00DD30D6"/>
    <w:rsid w:val="00DE2B6D"/>
    <w:rsid w:val="00ED269D"/>
    <w:rsid w:val="00F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Michał Pępek</cp:lastModifiedBy>
  <cp:revision>4</cp:revision>
  <dcterms:created xsi:type="dcterms:W3CDTF">2024-10-15T08:36:00Z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