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ogólne i szczegółowe LSR, przedsięwzięcia wraz ze wskazaniem planowanych </w:t>
        <w:br w:type="textWrapping"/>
        <w:t xml:space="preserve">do osiągnięcia w ramach naboru wniosków o przyznanie pomocy wskaźnikami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70.0" w:type="dxa"/>
        <w:tblLayout w:type="fixed"/>
        <w:tblLook w:val="0400"/>
      </w:tblPr>
      <w:tblGrid>
        <w:gridCol w:w="467"/>
        <w:gridCol w:w="1726"/>
        <w:gridCol w:w="986"/>
        <w:gridCol w:w="6"/>
        <w:gridCol w:w="1366"/>
        <w:gridCol w:w="1646"/>
        <w:gridCol w:w="1429"/>
        <w:gridCol w:w="1447"/>
        <w:tblGridChange w:id="0">
          <w:tblGrid>
            <w:gridCol w:w="467"/>
            <w:gridCol w:w="1726"/>
            <w:gridCol w:w="986"/>
            <w:gridCol w:w="6"/>
            <w:gridCol w:w="1366"/>
            <w:gridCol w:w="1646"/>
            <w:gridCol w:w="1429"/>
            <w:gridCol w:w="1447"/>
          </w:tblGrid>
        </w:tblGridChange>
      </w:tblGrid>
      <w:tr>
        <w:trPr>
          <w:cantSplit w:val="0"/>
          <w:trHeight w:val="8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Cel ogólny LSR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Cel ogólny 1: Aktywni i kreatywni mieszkańcy.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Cel(e) szczegółowe LSR</w:t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 szczegółowy 1.1 Rozwój infrastruktury społeczno-kulturalnej i prozdrowotnej.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Przedsięwzięcia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Przedsięwzięcie 1.1.2 Kształtowanie przestrzeni publicznej na cele społeczne.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Wskaźnik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wskaźnika ujętego w LSR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Jedn. miary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wskaźnika z LSR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zrealizowanych wskaźników z LSR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wskaźnika planowana do osiągnięcia w związku z realizacją operacji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wskaźnika z LSR pozostająca do realizacji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WSKAŹNIK PRODUKTU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projektów rewitalizujących centra wsi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sztuka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korzystających z powstałej infrastruktury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osoba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12 250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11 650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sid w:val="00E672C3"/>
    <w:pPr>
      <w:widowControl w:val="0"/>
      <w:spacing w:after="0" w:line="240" w:lineRule="auto"/>
    </w:pPr>
    <w:rPr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C3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0C393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0C393A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0C393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0C393A"/>
    <w:rPr>
      <w:b w:val="1"/>
      <w:bCs w:val="1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C393A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C393A"/>
    <w:rPr>
      <w:rFonts w:ascii="Tahoma" w:cs="Tahoma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6oB8g+oMWAQxvTqVUp4jGO6Qw==">CgMxLjA4AHIhMTdJNlRIVllUc2tSSHBDMnVHNi1LRWtONkZhMXVRT3hT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2024-07-03T10:19:00Z</dcterms:created>
  <dc:creator>user1</dc:creator>
</cp:coreProperties>
</file>