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>do osiągnięcia w ramach naboru wniosków o przyznanie pomocy wskaźnikami.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E672C3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Wsparcie rozwoju gospodarczego poprzez działanie innowacyjne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proekologiczne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E672C3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Wsparcie przedsiębiorczości na obszarze LGD.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E672C3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Przedsięwzięcie 2.1.2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Podejmowanie działalności gospodarczej na obszarze LGD. 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E672C3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</w:t>
            </w:r>
            <w:proofErr w:type="spellEnd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zarejstrowanych</w:t>
            </w:r>
            <w:proofErr w:type="spellEnd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działalności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F50CA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F50CA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F50CA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F50CA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3717AD"/>
    <w:rsid w:val="003C51CE"/>
    <w:rsid w:val="008F0E82"/>
    <w:rsid w:val="009A2B9F"/>
    <w:rsid w:val="00AE65C0"/>
    <w:rsid w:val="00E672C3"/>
    <w:rsid w:val="00F50CA8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2017-03-03T08:12:00Z</dcterms:created>
  <dcterms:modified xsi:type="dcterms:W3CDTF">2017-03-03T08:26:00Z</dcterms:modified>
</cp:coreProperties>
</file>